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DCCDB">
      <w:pPr>
        <w:keepNext w:val="0"/>
        <w:keepLines w:val="0"/>
        <w:pageBreakBefore w:val="0"/>
        <w:tabs>
          <w:tab w:val="left" w:pos="9020"/>
        </w:tabs>
        <w:kinsoku/>
        <w:wordWrap w:val="0"/>
        <w:overflowPunct/>
        <w:topLinePunct w:val="0"/>
        <w:bidi w:val="0"/>
        <w:adjustRightInd w:val="0"/>
        <w:snapToGrid w:val="0"/>
        <w:spacing w:before="131" w:line="326" w:lineRule="auto"/>
        <w:ind w:right="52" w:rightChars="0"/>
        <w:jc w:val="both"/>
        <w:textAlignment w:val="baseline"/>
        <w:outlineLvl w:val="9"/>
        <w:rPr>
          <w:rFonts w:hint="eastAsia" w:ascii="宋体" w:hAnsi="宋体" w:eastAsia="宋体" w:cs="宋体"/>
          <w:b/>
          <w:bCs/>
          <w:spacing w:val="-4"/>
          <w:sz w:val="44"/>
          <w:szCs w:val="44"/>
          <w:lang w:eastAsia="zh-CN"/>
        </w:rPr>
      </w:pPr>
      <w:bookmarkStart w:id="0" w:name="_Toc16085"/>
    </w:p>
    <w:bookmarkEnd w:id="0"/>
    <w:p w14:paraId="035408F7">
      <w:pPr>
        <w:keepNext w:val="0"/>
        <w:keepLines w:val="0"/>
        <w:pageBreakBefore w:val="0"/>
        <w:kinsoku/>
        <w:wordWrap w:val="0"/>
        <w:overflowPunct/>
        <w:topLinePunct w:val="0"/>
        <w:bidi w:val="0"/>
        <w:adjustRightInd w:val="0"/>
        <w:snapToGrid w:val="0"/>
        <w:spacing w:before="101" w:line="225" w:lineRule="auto"/>
        <w:jc w:val="center"/>
        <w:textAlignment w:val="baseline"/>
        <w:outlineLvl w:val="9"/>
        <w:rPr>
          <w:rFonts w:hint="eastAsia" w:ascii="宋体" w:hAnsi="宋体" w:eastAsia="宋体" w:cs="宋体"/>
          <w:b/>
          <w:bCs/>
          <w:spacing w:val="-1"/>
          <w:sz w:val="44"/>
          <w:szCs w:val="44"/>
          <w:lang w:val="en-US" w:eastAsia="zh-CN"/>
        </w:rPr>
      </w:pPr>
      <w:r>
        <w:rPr>
          <w:rFonts w:hint="eastAsia" w:cs="宋体"/>
          <w:b/>
          <w:bCs/>
          <w:spacing w:val="-1"/>
          <w:sz w:val="44"/>
          <w:szCs w:val="44"/>
          <w:lang w:val="en-US" w:eastAsia="zh-CN"/>
        </w:rPr>
        <w:t>河南省开封生态环境监测中心实验用房水电改造项目（包2）</w:t>
      </w:r>
    </w:p>
    <w:p w14:paraId="7FF773F5">
      <w:pPr>
        <w:pStyle w:val="11"/>
        <w:rPr>
          <w:rFonts w:hint="eastAsia" w:ascii="宋体" w:hAnsi="宋体" w:eastAsia="宋体" w:cs="宋体"/>
          <w:b/>
          <w:bCs/>
          <w:spacing w:val="-1"/>
          <w:sz w:val="44"/>
          <w:szCs w:val="44"/>
          <w:lang w:val="en-US" w:eastAsia="zh-CN"/>
        </w:rPr>
      </w:pPr>
    </w:p>
    <w:p w14:paraId="6C5DEE22">
      <w:pPr>
        <w:rPr>
          <w:rFonts w:hint="eastAsia"/>
          <w:lang w:eastAsia="zh-CN"/>
        </w:rPr>
      </w:pPr>
    </w:p>
    <w:p w14:paraId="2CA046A7">
      <w:pPr>
        <w:keepNext w:val="0"/>
        <w:keepLines w:val="0"/>
        <w:pageBreakBefore w:val="0"/>
        <w:kinsoku/>
        <w:wordWrap w:val="0"/>
        <w:overflowPunct/>
        <w:topLinePunct w:val="0"/>
        <w:bidi w:val="0"/>
        <w:adjustRightInd w:val="0"/>
        <w:snapToGrid w:val="0"/>
        <w:spacing w:before="131" w:line="326" w:lineRule="auto"/>
        <w:ind w:right="52" w:rightChars="0"/>
        <w:jc w:val="center"/>
        <w:textAlignment w:val="baseline"/>
        <w:outlineLvl w:val="9"/>
        <w:rPr>
          <w:rFonts w:hint="eastAsia" w:ascii="宋体" w:hAnsi="宋体" w:eastAsia="宋体" w:cs="宋体"/>
          <w:b/>
          <w:bCs/>
          <w:spacing w:val="1"/>
          <w:sz w:val="72"/>
          <w:szCs w:val="72"/>
        </w:rPr>
      </w:pPr>
      <w:bookmarkStart w:id="1" w:name="_Toc16580"/>
      <w:r>
        <w:rPr>
          <w:rFonts w:hint="eastAsia" w:ascii="宋体" w:hAnsi="宋体" w:eastAsia="宋体" w:cs="宋体"/>
          <w:b/>
          <w:bCs/>
          <w:spacing w:val="1"/>
          <w:sz w:val="72"/>
          <w:szCs w:val="72"/>
        </w:rPr>
        <w:t>竞争性磋商文件</w:t>
      </w:r>
      <w:bookmarkEnd w:id="1"/>
    </w:p>
    <w:p w14:paraId="24ACEAAE">
      <w:pPr>
        <w:keepNext w:val="0"/>
        <w:keepLines w:val="0"/>
        <w:pageBreakBefore w:val="0"/>
        <w:kinsoku/>
        <w:wordWrap w:val="0"/>
        <w:overflowPunct/>
        <w:topLinePunct w:val="0"/>
        <w:bidi w:val="0"/>
        <w:adjustRightInd w:val="0"/>
        <w:snapToGrid w:val="0"/>
        <w:spacing w:before="101" w:line="225" w:lineRule="auto"/>
        <w:jc w:val="center"/>
        <w:textAlignment w:val="baseline"/>
        <w:outlineLvl w:val="9"/>
        <w:rPr>
          <w:rFonts w:hint="eastAsia" w:ascii="宋体" w:hAnsi="宋体" w:eastAsia="宋体" w:cs="宋体"/>
          <w:b/>
          <w:bCs/>
          <w:spacing w:val="-1"/>
          <w:sz w:val="28"/>
          <w:szCs w:val="28"/>
          <w:highlight w:val="none"/>
          <w:lang w:eastAsia="zh-CN"/>
        </w:rPr>
      </w:pPr>
      <w:bookmarkStart w:id="2" w:name="_Toc20449"/>
      <w:r>
        <w:rPr>
          <w:rFonts w:hint="eastAsia" w:ascii="宋体" w:hAnsi="宋体" w:eastAsia="宋体" w:cs="宋体"/>
          <w:b/>
          <w:bCs/>
          <w:spacing w:val="-1"/>
          <w:sz w:val="28"/>
          <w:szCs w:val="28"/>
          <w:highlight w:val="none"/>
          <w:lang w:val="en-US" w:eastAsia="zh-CN"/>
        </w:rPr>
        <w:t>项目编号：</w:t>
      </w:r>
      <w:bookmarkEnd w:id="2"/>
      <w:r>
        <w:rPr>
          <w:rFonts w:hint="eastAsia" w:ascii="宋体" w:hAnsi="宋体" w:eastAsia="宋体" w:cs="宋体"/>
          <w:b/>
          <w:bCs/>
          <w:spacing w:val="-1"/>
          <w:sz w:val="28"/>
          <w:szCs w:val="28"/>
          <w:highlight w:val="none"/>
          <w:lang w:val="en-US" w:eastAsia="zh-CN"/>
        </w:rPr>
        <w:t>豫财磋商采购-2024-1315</w:t>
      </w:r>
    </w:p>
    <w:p w14:paraId="0127BDBA">
      <w:pPr>
        <w:pStyle w:val="11"/>
        <w:rPr>
          <w:rFonts w:hint="eastAsia"/>
          <w:lang w:eastAsia="zh-CN"/>
        </w:rPr>
      </w:pPr>
    </w:p>
    <w:p w14:paraId="593F0AC5">
      <w:pPr>
        <w:pStyle w:val="11"/>
        <w:rPr>
          <w:rFonts w:hint="eastAsia"/>
        </w:rPr>
      </w:pPr>
    </w:p>
    <w:p w14:paraId="4884C6CD">
      <w:pPr>
        <w:pStyle w:val="11"/>
        <w:keepNext w:val="0"/>
        <w:keepLines w:val="0"/>
        <w:pageBreakBefore w:val="0"/>
        <w:kinsoku/>
        <w:wordWrap w:val="0"/>
        <w:overflowPunct/>
        <w:topLinePunct w:val="0"/>
        <w:bidi w:val="0"/>
        <w:adjustRightInd w:val="0"/>
        <w:snapToGrid w:val="0"/>
        <w:spacing w:line="285" w:lineRule="auto"/>
        <w:textAlignment w:val="baseline"/>
        <w:outlineLvl w:val="9"/>
        <w:rPr>
          <w:rFonts w:hint="eastAsia" w:ascii="宋体" w:hAnsi="宋体" w:eastAsia="宋体" w:cs="宋体"/>
        </w:rPr>
      </w:pPr>
      <w:r>
        <w:rPr>
          <w:rFonts w:hint="eastAsia" w:ascii="宋体" w:hAnsi="宋体" w:eastAsia="宋体" w:cs="宋体"/>
          <w:color w:val="auto"/>
          <w:highlight w:val="none"/>
          <w:lang w:val="en-US" w:bidi="ar-SA"/>
        </w:rPr>
        <w:drawing>
          <wp:anchor distT="0" distB="0" distL="114300" distR="114300" simplePos="0" relativeHeight="251669504" behindDoc="0" locked="0" layoutInCell="1" allowOverlap="1">
            <wp:simplePos x="0" y="0"/>
            <wp:positionH relativeFrom="column">
              <wp:posOffset>1839595</wp:posOffset>
            </wp:positionH>
            <wp:positionV relativeFrom="paragraph">
              <wp:posOffset>142875</wp:posOffset>
            </wp:positionV>
            <wp:extent cx="2084070" cy="2510790"/>
            <wp:effectExtent l="0" t="0" r="1143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084070" cy="2510790"/>
                    </a:xfrm>
                    <a:prstGeom prst="rect">
                      <a:avLst/>
                    </a:prstGeom>
                    <a:noFill/>
                    <a:ln>
                      <a:noFill/>
                    </a:ln>
                  </pic:spPr>
                </pic:pic>
              </a:graphicData>
            </a:graphic>
          </wp:anchor>
        </w:drawing>
      </w:r>
    </w:p>
    <w:p w14:paraId="314E2AA2">
      <w:pPr>
        <w:pStyle w:val="11"/>
        <w:keepNext w:val="0"/>
        <w:keepLines w:val="0"/>
        <w:pageBreakBefore w:val="0"/>
        <w:kinsoku/>
        <w:wordWrap w:val="0"/>
        <w:overflowPunct/>
        <w:topLinePunct w:val="0"/>
        <w:bidi w:val="0"/>
        <w:adjustRightInd w:val="0"/>
        <w:snapToGrid w:val="0"/>
        <w:spacing w:line="286" w:lineRule="auto"/>
        <w:textAlignment w:val="baseline"/>
        <w:outlineLvl w:val="9"/>
        <w:rPr>
          <w:rFonts w:hint="eastAsia" w:ascii="宋体" w:hAnsi="宋体" w:eastAsia="宋体" w:cs="宋体"/>
        </w:rPr>
      </w:pPr>
    </w:p>
    <w:p w14:paraId="53547C61">
      <w:pPr>
        <w:pStyle w:val="11"/>
        <w:keepNext w:val="0"/>
        <w:keepLines w:val="0"/>
        <w:pageBreakBefore w:val="0"/>
        <w:kinsoku/>
        <w:wordWrap w:val="0"/>
        <w:overflowPunct/>
        <w:topLinePunct w:val="0"/>
        <w:bidi w:val="0"/>
        <w:adjustRightInd w:val="0"/>
        <w:snapToGrid w:val="0"/>
        <w:spacing w:line="286" w:lineRule="auto"/>
        <w:textAlignment w:val="baseline"/>
        <w:outlineLvl w:val="9"/>
        <w:rPr>
          <w:rFonts w:hint="eastAsia" w:ascii="宋体" w:hAnsi="宋体" w:eastAsia="宋体" w:cs="宋体"/>
        </w:rPr>
      </w:pPr>
    </w:p>
    <w:p w14:paraId="7F45E0AC">
      <w:pPr>
        <w:keepNext w:val="0"/>
        <w:keepLines w:val="0"/>
        <w:pageBreakBefore w:val="0"/>
        <w:kinsoku/>
        <w:wordWrap w:val="0"/>
        <w:overflowPunct/>
        <w:topLinePunct w:val="0"/>
        <w:bidi w:val="0"/>
        <w:adjustRightInd w:val="0"/>
        <w:snapToGrid w:val="0"/>
        <w:spacing w:line="3106" w:lineRule="exact"/>
        <w:ind w:firstLine="2524"/>
        <w:textAlignment w:val="baseline"/>
        <w:outlineLvl w:val="9"/>
        <w:rPr>
          <w:rFonts w:hint="eastAsia" w:ascii="宋体" w:hAnsi="宋体" w:eastAsia="宋体" w:cs="宋体"/>
        </w:rPr>
      </w:pPr>
    </w:p>
    <w:p w14:paraId="1D89F5E5">
      <w:pPr>
        <w:pStyle w:val="11"/>
        <w:keepNext w:val="0"/>
        <w:keepLines w:val="0"/>
        <w:pageBreakBefore w:val="0"/>
        <w:kinsoku/>
        <w:wordWrap w:val="0"/>
        <w:overflowPunct/>
        <w:topLinePunct w:val="0"/>
        <w:bidi w:val="0"/>
        <w:adjustRightInd w:val="0"/>
        <w:snapToGrid w:val="0"/>
        <w:spacing w:line="246" w:lineRule="auto"/>
        <w:textAlignment w:val="baseline"/>
        <w:outlineLvl w:val="9"/>
        <w:rPr>
          <w:rFonts w:hint="eastAsia" w:ascii="宋体" w:hAnsi="宋体" w:eastAsia="宋体" w:cs="宋体"/>
        </w:rPr>
      </w:pPr>
    </w:p>
    <w:p w14:paraId="2AE1F58A">
      <w:pPr>
        <w:pStyle w:val="11"/>
        <w:keepNext w:val="0"/>
        <w:keepLines w:val="0"/>
        <w:pageBreakBefore w:val="0"/>
        <w:kinsoku/>
        <w:wordWrap w:val="0"/>
        <w:overflowPunct/>
        <w:topLinePunct w:val="0"/>
        <w:bidi w:val="0"/>
        <w:adjustRightInd w:val="0"/>
        <w:snapToGrid w:val="0"/>
        <w:spacing w:line="246" w:lineRule="auto"/>
        <w:textAlignment w:val="baseline"/>
        <w:outlineLvl w:val="9"/>
        <w:rPr>
          <w:rFonts w:hint="eastAsia" w:ascii="宋体" w:hAnsi="宋体" w:eastAsia="宋体" w:cs="宋体"/>
        </w:rPr>
      </w:pPr>
    </w:p>
    <w:p w14:paraId="37C91E80">
      <w:pPr>
        <w:keepNext w:val="0"/>
        <w:keepLines w:val="0"/>
        <w:pageBreakBefore w:val="0"/>
        <w:kinsoku/>
        <w:wordWrap w:val="0"/>
        <w:overflowPunct/>
        <w:topLinePunct w:val="0"/>
        <w:bidi w:val="0"/>
        <w:adjustRightInd w:val="0"/>
        <w:snapToGrid w:val="0"/>
        <w:spacing w:before="291" w:line="360" w:lineRule="auto"/>
        <w:ind w:firstLine="1651" w:firstLineChars="600"/>
        <w:jc w:val="both"/>
        <w:textAlignment w:val="baseline"/>
        <w:outlineLvl w:val="9"/>
        <w:rPr>
          <w:rFonts w:hint="eastAsia" w:ascii="宋体" w:hAnsi="宋体" w:eastAsia="宋体" w:cs="宋体"/>
          <w:b/>
          <w:bCs/>
          <w:spacing w:val="-3"/>
          <w:sz w:val="28"/>
          <w:szCs w:val="28"/>
          <w:lang w:eastAsia="zh-CN"/>
        </w:rPr>
      </w:pPr>
      <w:bookmarkStart w:id="3" w:name="_Toc4664"/>
    </w:p>
    <w:p w14:paraId="7C61521D">
      <w:pPr>
        <w:keepNext w:val="0"/>
        <w:keepLines w:val="0"/>
        <w:pageBreakBefore w:val="0"/>
        <w:kinsoku/>
        <w:wordWrap w:val="0"/>
        <w:overflowPunct/>
        <w:topLinePunct w:val="0"/>
        <w:bidi w:val="0"/>
        <w:adjustRightInd w:val="0"/>
        <w:snapToGrid w:val="0"/>
        <w:spacing w:before="291" w:line="240" w:lineRule="auto"/>
        <w:ind w:firstLine="1651" w:firstLineChars="600"/>
        <w:jc w:val="both"/>
        <w:textAlignment w:val="baseline"/>
        <w:outlineLvl w:val="9"/>
        <w:rPr>
          <w:rFonts w:hint="eastAsia" w:ascii="宋体" w:hAnsi="宋体" w:eastAsia="宋体" w:cs="宋体"/>
          <w:b/>
          <w:bCs/>
          <w:spacing w:val="-3"/>
          <w:sz w:val="28"/>
          <w:szCs w:val="28"/>
          <w:lang w:eastAsia="zh-CN"/>
        </w:rPr>
      </w:pPr>
      <w:r>
        <w:rPr>
          <w:rFonts w:hint="eastAsia" w:ascii="宋体" w:hAnsi="宋体" w:eastAsia="宋体" w:cs="宋体"/>
          <w:b/>
          <w:bCs/>
          <w:spacing w:val="-3"/>
          <w:sz w:val="28"/>
          <w:szCs w:val="28"/>
          <w:lang w:eastAsia="zh-CN"/>
        </w:rPr>
        <w:t>采</w:t>
      </w:r>
      <w:r>
        <w:rPr>
          <w:rFonts w:hint="eastAsia" w:cs="宋体"/>
          <w:b/>
          <w:bCs/>
          <w:spacing w:val="-3"/>
          <w:sz w:val="28"/>
          <w:szCs w:val="28"/>
          <w:lang w:val="en-US" w:eastAsia="zh-CN"/>
        </w:rPr>
        <w:t xml:space="preserve">   </w:t>
      </w:r>
      <w:r>
        <w:rPr>
          <w:rFonts w:hint="eastAsia" w:ascii="宋体" w:hAnsi="宋体" w:eastAsia="宋体" w:cs="宋体"/>
          <w:b/>
          <w:bCs/>
          <w:spacing w:val="-3"/>
          <w:sz w:val="28"/>
          <w:szCs w:val="28"/>
          <w:lang w:eastAsia="zh-CN"/>
        </w:rPr>
        <w:t>购</w:t>
      </w:r>
      <w:r>
        <w:rPr>
          <w:rFonts w:hint="eastAsia" w:cs="宋体"/>
          <w:b/>
          <w:bCs/>
          <w:spacing w:val="-3"/>
          <w:sz w:val="28"/>
          <w:szCs w:val="28"/>
          <w:lang w:val="en-US" w:eastAsia="zh-CN"/>
        </w:rPr>
        <w:t xml:space="preserve">   </w:t>
      </w:r>
      <w:r>
        <w:rPr>
          <w:rFonts w:hint="eastAsia" w:ascii="宋体" w:hAnsi="宋体" w:eastAsia="宋体" w:cs="宋体"/>
          <w:b/>
          <w:bCs/>
          <w:spacing w:val="-3"/>
          <w:sz w:val="28"/>
          <w:szCs w:val="28"/>
          <w:lang w:eastAsia="zh-CN"/>
        </w:rPr>
        <w:t>人：</w:t>
      </w:r>
      <w:bookmarkEnd w:id="3"/>
      <w:r>
        <w:rPr>
          <w:rFonts w:hint="eastAsia" w:cs="宋体"/>
          <w:b/>
          <w:bCs/>
          <w:spacing w:val="-3"/>
          <w:sz w:val="28"/>
          <w:szCs w:val="28"/>
          <w:lang w:val="en-US" w:eastAsia="zh-CN"/>
        </w:rPr>
        <w:t>河南省开封生态环境监测中心</w:t>
      </w:r>
    </w:p>
    <w:p w14:paraId="7C8D65C1">
      <w:pPr>
        <w:keepNext w:val="0"/>
        <w:keepLines w:val="0"/>
        <w:pageBreakBefore w:val="0"/>
        <w:kinsoku/>
        <w:wordWrap w:val="0"/>
        <w:overflowPunct/>
        <w:topLinePunct w:val="0"/>
        <w:bidi w:val="0"/>
        <w:adjustRightInd w:val="0"/>
        <w:snapToGrid w:val="0"/>
        <w:spacing w:before="291" w:line="240" w:lineRule="auto"/>
        <w:ind w:firstLine="1651" w:firstLineChars="600"/>
        <w:jc w:val="both"/>
        <w:textAlignment w:val="baseline"/>
        <w:outlineLvl w:val="9"/>
        <w:rPr>
          <w:rFonts w:hint="eastAsia" w:ascii="宋体" w:hAnsi="宋体" w:eastAsia="宋体" w:cs="宋体"/>
          <w:sz w:val="28"/>
          <w:szCs w:val="28"/>
          <w:lang w:eastAsia="zh-CN"/>
        </w:rPr>
      </w:pPr>
      <w:r>
        <w:rPr>
          <w:rFonts w:hint="eastAsia" w:ascii="宋体" w:hAnsi="宋体" w:eastAsia="宋体" w:cs="宋体"/>
          <w:b/>
          <w:bCs/>
          <w:spacing w:val="-3"/>
          <w:sz w:val="28"/>
          <w:szCs w:val="28"/>
        </w:rPr>
        <w:t>采购代理机构</w:t>
      </w:r>
      <w:r>
        <w:rPr>
          <w:rFonts w:hint="eastAsia" w:ascii="宋体" w:hAnsi="宋体" w:eastAsia="宋体" w:cs="宋体"/>
          <w:b/>
          <w:bCs/>
          <w:spacing w:val="-2"/>
          <w:sz w:val="28"/>
          <w:szCs w:val="28"/>
        </w:rPr>
        <w:t>：</w:t>
      </w:r>
      <w:r>
        <w:rPr>
          <w:rFonts w:hint="eastAsia" w:ascii="宋体" w:hAnsi="宋体" w:eastAsia="宋体" w:cs="宋体"/>
          <w:b/>
          <w:bCs/>
          <w:spacing w:val="-3"/>
          <w:sz w:val="28"/>
          <w:szCs w:val="28"/>
          <w:lang w:eastAsia="zh-CN"/>
        </w:rPr>
        <w:t>中海域安项目管理咨询有限公司</w:t>
      </w:r>
    </w:p>
    <w:p w14:paraId="0F81F847">
      <w:pPr>
        <w:keepNext w:val="0"/>
        <w:keepLines w:val="0"/>
        <w:pageBreakBefore w:val="0"/>
        <w:kinsoku/>
        <w:wordWrap w:val="0"/>
        <w:overflowPunct/>
        <w:topLinePunct w:val="0"/>
        <w:bidi w:val="0"/>
        <w:adjustRightInd w:val="0"/>
        <w:snapToGrid w:val="0"/>
        <w:spacing w:before="291" w:line="240" w:lineRule="auto"/>
        <w:ind w:firstLine="1579" w:firstLineChars="600"/>
        <w:jc w:val="both"/>
        <w:textAlignment w:val="baseline"/>
        <w:outlineLvl w:val="9"/>
        <w:rPr>
          <w:rFonts w:hint="eastAsia" w:ascii="宋体" w:hAnsi="宋体" w:eastAsia="宋体" w:cs="宋体"/>
          <w:sz w:val="28"/>
          <w:szCs w:val="28"/>
        </w:rPr>
        <w:sectPr>
          <w:type w:val="continuous"/>
          <w:pgSz w:w="11906" w:h="16839"/>
          <w:pgMar w:top="1417" w:right="1417" w:bottom="1417" w:left="1417" w:header="0" w:footer="0" w:gutter="0"/>
          <w:cols w:space="720" w:num="1"/>
        </w:sectPr>
      </w:pPr>
      <w:bookmarkStart w:id="4" w:name="_Toc16627"/>
      <w:r>
        <w:rPr>
          <w:rFonts w:hint="eastAsia" w:ascii="宋体" w:hAnsi="宋体" w:eastAsia="宋体" w:cs="宋体"/>
          <w:b/>
          <w:bCs/>
          <w:spacing w:val="-9"/>
          <w:sz w:val="28"/>
          <w:szCs w:val="28"/>
        </w:rPr>
        <w:t>日</w:t>
      </w:r>
      <w:r>
        <w:rPr>
          <w:rFonts w:hint="eastAsia" w:cs="宋体"/>
          <w:b/>
          <w:bCs/>
          <w:spacing w:val="-9"/>
          <w:sz w:val="28"/>
          <w:szCs w:val="28"/>
          <w:lang w:val="en-US" w:eastAsia="zh-CN"/>
        </w:rPr>
        <w:t xml:space="preserve">         </w:t>
      </w:r>
      <w:r>
        <w:rPr>
          <w:rFonts w:hint="eastAsia" w:ascii="宋体" w:hAnsi="宋体" w:eastAsia="宋体" w:cs="宋体"/>
          <w:b/>
          <w:bCs/>
          <w:spacing w:val="-9"/>
          <w:sz w:val="28"/>
          <w:szCs w:val="28"/>
        </w:rPr>
        <w:t>期</w:t>
      </w:r>
      <w:r>
        <w:rPr>
          <w:rFonts w:hint="eastAsia" w:cs="宋体"/>
          <w:b/>
          <w:bCs/>
          <w:spacing w:val="-9"/>
          <w:sz w:val="28"/>
          <w:szCs w:val="28"/>
          <w:lang w:eastAsia="zh-CN"/>
        </w:rPr>
        <w:t>：</w:t>
      </w:r>
      <w:r>
        <w:rPr>
          <w:rFonts w:hint="eastAsia" w:ascii="宋体" w:hAnsi="宋体" w:eastAsia="宋体" w:cs="宋体"/>
          <w:b/>
          <w:bCs/>
          <w:spacing w:val="-9"/>
          <w:sz w:val="28"/>
          <w:szCs w:val="28"/>
        </w:rPr>
        <w:t>二〇二</w:t>
      </w:r>
      <w:r>
        <w:rPr>
          <w:rFonts w:hint="eastAsia" w:ascii="宋体" w:hAnsi="宋体" w:eastAsia="宋体" w:cs="宋体"/>
          <w:b/>
          <w:bCs/>
          <w:spacing w:val="-9"/>
          <w:sz w:val="28"/>
          <w:szCs w:val="28"/>
          <w:lang w:val="en-US" w:eastAsia="zh-CN"/>
        </w:rPr>
        <w:t>四</w:t>
      </w:r>
      <w:r>
        <w:rPr>
          <w:rFonts w:hint="eastAsia" w:ascii="宋体" w:hAnsi="宋体" w:eastAsia="宋体" w:cs="宋体"/>
          <w:b/>
          <w:bCs/>
          <w:spacing w:val="-9"/>
          <w:sz w:val="28"/>
          <w:szCs w:val="28"/>
        </w:rPr>
        <w:t>年</w:t>
      </w:r>
      <w:r>
        <w:rPr>
          <w:rFonts w:hint="eastAsia" w:cs="宋体"/>
          <w:b/>
          <w:bCs/>
          <w:spacing w:val="-9"/>
          <w:sz w:val="28"/>
          <w:szCs w:val="28"/>
          <w:lang w:val="en-US" w:eastAsia="zh-CN"/>
        </w:rPr>
        <w:t>十一</w:t>
      </w:r>
      <w:r>
        <w:rPr>
          <w:rFonts w:hint="eastAsia" w:ascii="宋体" w:hAnsi="宋体" w:eastAsia="宋体" w:cs="宋体"/>
          <w:b/>
          <w:bCs/>
          <w:spacing w:val="-9"/>
          <w:sz w:val="28"/>
          <w:szCs w:val="28"/>
        </w:rPr>
        <w:t>月</w:t>
      </w:r>
      <w:bookmarkEnd w:id="4"/>
    </w:p>
    <w:p w14:paraId="603AC4DB">
      <w:pPr>
        <w:pStyle w:val="11"/>
        <w:spacing w:line="360" w:lineRule="auto"/>
        <w:rPr>
          <w:rFonts w:hint="eastAsia" w:ascii="宋体" w:hAnsi="宋体" w:eastAsia="宋体" w:cs="宋体"/>
          <w:b/>
          <w:color w:val="auto"/>
          <w:sz w:val="20"/>
          <w:highlight w:val="none"/>
          <w:lang w:eastAsia="zh-CN"/>
        </w:rPr>
      </w:pPr>
    </w:p>
    <w:p w14:paraId="60F792FB">
      <w:pPr>
        <w:pStyle w:val="11"/>
        <w:spacing w:line="360" w:lineRule="auto"/>
        <w:rPr>
          <w:rFonts w:hint="eastAsia" w:ascii="宋体" w:hAnsi="宋体" w:eastAsia="宋体" w:cs="宋体"/>
          <w:b/>
          <w:color w:val="auto"/>
          <w:sz w:val="22"/>
          <w:highlight w:val="none"/>
          <w:lang w:eastAsia="zh-CN"/>
        </w:rPr>
      </w:pPr>
    </w:p>
    <w:sdt>
      <w:sdtPr>
        <w:rPr>
          <w:rFonts w:hint="eastAsia" w:ascii="宋体" w:hAnsi="宋体" w:eastAsia="宋体" w:cs="宋体"/>
          <w:b/>
          <w:bCs/>
          <w:color w:val="auto"/>
          <w:sz w:val="28"/>
          <w:szCs w:val="28"/>
          <w:highlight w:val="none"/>
        </w:rPr>
        <w:id w:val="147469961"/>
        <w:docPartObj>
          <w:docPartGallery w:val="Table of Contents"/>
          <w:docPartUnique/>
        </w:docPartObj>
      </w:sdtPr>
      <w:sdtEndPr>
        <w:rPr>
          <w:rFonts w:hint="eastAsia" w:ascii="宋体" w:hAnsi="宋体" w:eastAsia="宋体" w:cs="宋体"/>
          <w:b/>
          <w:bCs/>
          <w:color w:val="auto"/>
          <w:sz w:val="28"/>
          <w:szCs w:val="28"/>
          <w:highlight w:val="none"/>
        </w:rPr>
      </w:sdtEndPr>
      <w:sdtContent>
        <w:p w14:paraId="56FEAFA1">
          <w:pPr>
            <w:spacing w:line="360" w:lineRule="auto"/>
            <w:jc w:val="center"/>
            <w:rPr>
              <w:rFonts w:hint="eastAsia" w:ascii="宋体" w:hAnsi="宋体" w:eastAsia="宋体" w:cs="宋体"/>
              <w:b/>
              <w:bCs/>
              <w:color w:val="auto"/>
              <w:sz w:val="28"/>
              <w:szCs w:val="28"/>
              <w:highlight w:val="none"/>
              <w:lang w:eastAsia="zh-CN"/>
            </w:rPr>
          </w:pPr>
          <w:bookmarkStart w:id="5" w:name="_bookmark0"/>
          <w:bookmarkEnd w:id="5"/>
          <w:bookmarkStart w:id="6" w:name="第一章__竞争性磋商公告"/>
          <w:bookmarkEnd w:id="6"/>
          <w:r>
            <w:rPr>
              <w:rFonts w:hint="eastAsia" w:ascii="宋体" w:hAnsi="宋体" w:eastAsia="宋体" w:cs="宋体"/>
              <w:b/>
              <w:bCs/>
              <w:color w:val="auto"/>
              <w:sz w:val="28"/>
              <w:szCs w:val="28"/>
              <w:highlight w:val="none"/>
              <w:lang w:eastAsia="zh-CN"/>
            </w:rPr>
            <w:t>目录</w:t>
          </w:r>
        </w:p>
        <w:p w14:paraId="6D359DEA">
          <w:pPr>
            <w:pStyle w:val="23"/>
            <w:tabs>
              <w:tab w:val="right" w:leader="dot" w:pos="9750"/>
            </w:tabs>
            <w:rPr>
              <w:rFonts w:hint="eastAsia" w:ascii="宋体" w:hAnsi="宋体" w:eastAsia="宋体" w:cs="宋体"/>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_Toc11325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第一章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_Toc11325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3193FE98">
          <w:pPr>
            <w:pStyle w:val="23"/>
            <w:tabs>
              <w:tab w:val="right" w:leader="dot" w:pos="9750"/>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_Toc14790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第二章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_Toc14790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5F461019">
          <w:pPr>
            <w:pStyle w:val="23"/>
            <w:tabs>
              <w:tab w:val="right" w:leader="dot" w:pos="9750"/>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_Toc27017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第三章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评审办法（综合评分法）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_Toc27017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646E839F">
          <w:pPr>
            <w:pStyle w:val="23"/>
            <w:tabs>
              <w:tab w:val="right" w:leader="dot" w:pos="9750"/>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_Toc7550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val="en-US" w:eastAsia="zh-CN"/>
            </w:rPr>
            <w:t xml:space="preserve">第四章  </w:t>
          </w:r>
          <w:r>
            <w:rPr>
              <w:rFonts w:hint="eastAsia" w:ascii="宋体" w:hAnsi="宋体" w:eastAsia="宋体" w:cs="宋体"/>
              <w:szCs w:val="32"/>
              <w:highlight w:val="none"/>
            </w:rPr>
            <w:t>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_Toc7550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2DF31882">
          <w:pPr>
            <w:pStyle w:val="23"/>
            <w:tabs>
              <w:tab w:val="right" w:leader="dot" w:pos="9750"/>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_Toc5757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w:t>
          </w:r>
          <w:r>
            <w:rPr>
              <w:rFonts w:hint="eastAsia" w:cs="宋体"/>
              <w:szCs w:val="32"/>
              <w:highlight w:val="none"/>
              <w:lang w:val="en-US" w:eastAsia="zh-CN"/>
            </w:rPr>
            <w:t>五</w:t>
          </w:r>
          <w:r>
            <w:rPr>
              <w:rFonts w:hint="eastAsia" w:ascii="宋体" w:hAnsi="宋体" w:eastAsia="宋体" w:cs="宋体"/>
              <w:szCs w:val="32"/>
              <w:highlight w:val="none"/>
              <w:lang w:eastAsia="zh-CN"/>
            </w:rPr>
            <w:t>章</w:t>
          </w:r>
          <w:r>
            <w:rPr>
              <w:rFonts w:hint="eastAsia" w:ascii="宋体" w:hAnsi="宋体" w:eastAsia="宋体" w:cs="宋体"/>
              <w:szCs w:val="32"/>
              <w:highlight w:val="none"/>
              <w:lang w:val="en-US" w:eastAsia="zh-CN"/>
            </w:rPr>
            <w:t xml:space="preserve">  技术标准和要求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_Toc5757 \h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36374468">
          <w:pPr>
            <w:pStyle w:val="23"/>
            <w:tabs>
              <w:tab w:val="right" w:leader="dot" w:pos="9750"/>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_Toc2376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w:t>
          </w:r>
          <w:r>
            <w:rPr>
              <w:rFonts w:hint="eastAsia" w:cs="宋体"/>
              <w:szCs w:val="32"/>
              <w:highlight w:val="none"/>
              <w:lang w:val="en-US" w:eastAsia="zh-CN"/>
            </w:rPr>
            <w:t>六</w:t>
          </w:r>
          <w:r>
            <w:rPr>
              <w:rFonts w:hint="eastAsia" w:ascii="宋体" w:hAnsi="宋体" w:eastAsia="宋体" w:cs="宋体"/>
              <w:szCs w:val="32"/>
              <w:highlight w:val="none"/>
              <w:lang w:eastAsia="zh-CN"/>
            </w:rPr>
            <w:t>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_Toc2376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5840F747">
          <w:pPr>
            <w:pStyle w:val="16"/>
            <w:tabs>
              <w:tab w:val="right" w:leader="dot" w:pos="9750"/>
            </w:tabs>
            <w:rPr>
              <w:rFonts w:hint="eastAsia" w:ascii="宋体" w:hAnsi="宋体" w:eastAsia="宋体" w:cs="宋体"/>
            </w:rPr>
          </w:pPr>
        </w:p>
        <w:p w14:paraId="2BB292D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Cs w:val="28"/>
              <w:highlight w:val="none"/>
            </w:rPr>
            <w:fldChar w:fldCharType="end"/>
          </w:r>
        </w:p>
      </w:sdtContent>
    </w:sdt>
    <w:p w14:paraId="5E9B59BA">
      <w:pPr>
        <w:pStyle w:val="31"/>
        <w:spacing w:line="360" w:lineRule="auto"/>
        <w:ind w:left="440" w:firstLine="560"/>
        <w:rPr>
          <w:rFonts w:hint="eastAsia" w:ascii="宋体" w:hAnsi="宋体" w:eastAsia="宋体" w:cs="宋体"/>
          <w:color w:val="auto"/>
          <w:sz w:val="28"/>
          <w:szCs w:val="28"/>
          <w:highlight w:val="none"/>
        </w:rPr>
      </w:pPr>
    </w:p>
    <w:p w14:paraId="4E2DEDC8">
      <w:pPr>
        <w:pStyle w:val="31"/>
        <w:spacing w:line="360" w:lineRule="auto"/>
        <w:ind w:left="440" w:firstLine="440"/>
        <w:rPr>
          <w:rFonts w:hint="eastAsia" w:ascii="宋体" w:hAnsi="宋体" w:eastAsia="宋体" w:cs="宋体"/>
          <w:color w:val="auto"/>
          <w:sz w:val="22"/>
          <w:highlight w:val="none"/>
        </w:rPr>
      </w:pPr>
    </w:p>
    <w:p w14:paraId="0368DFA2">
      <w:pPr>
        <w:pStyle w:val="31"/>
        <w:spacing w:line="360" w:lineRule="auto"/>
        <w:ind w:left="440" w:firstLine="440"/>
        <w:rPr>
          <w:rFonts w:hint="eastAsia" w:ascii="宋体" w:hAnsi="宋体" w:eastAsia="宋体" w:cs="宋体"/>
          <w:color w:val="auto"/>
          <w:sz w:val="22"/>
          <w:highlight w:val="none"/>
        </w:rPr>
      </w:pPr>
    </w:p>
    <w:p w14:paraId="097EA443">
      <w:pPr>
        <w:pStyle w:val="31"/>
        <w:tabs>
          <w:tab w:val="left" w:pos="2366"/>
          <w:tab w:val="left" w:pos="6280"/>
        </w:tabs>
        <w:spacing w:line="360" w:lineRule="auto"/>
        <w:ind w:left="440" w:firstLine="44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p>
    <w:p w14:paraId="1E890989">
      <w:pPr>
        <w:pStyle w:val="31"/>
        <w:spacing w:line="360" w:lineRule="auto"/>
        <w:ind w:left="440" w:firstLine="440"/>
        <w:rPr>
          <w:rFonts w:hint="eastAsia" w:ascii="宋体" w:hAnsi="宋体" w:eastAsia="宋体" w:cs="宋体"/>
          <w:color w:val="auto"/>
          <w:sz w:val="22"/>
          <w:highlight w:val="none"/>
        </w:rPr>
      </w:pPr>
      <w:bookmarkStart w:id="206" w:name="_GoBack"/>
      <w:bookmarkEnd w:id="206"/>
    </w:p>
    <w:p w14:paraId="485269D8">
      <w:pPr>
        <w:pStyle w:val="31"/>
        <w:spacing w:line="360" w:lineRule="auto"/>
        <w:ind w:left="440" w:firstLine="440"/>
        <w:rPr>
          <w:rFonts w:hint="eastAsia" w:ascii="宋体" w:hAnsi="宋体" w:eastAsia="宋体" w:cs="宋体"/>
          <w:color w:val="auto"/>
          <w:sz w:val="22"/>
          <w:highlight w:val="none"/>
        </w:rPr>
      </w:pPr>
    </w:p>
    <w:p w14:paraId="64063526">
      <w:pPr>
        <w:pStyle w:val="31"/>
        <w:spacing w:line="360" w:lineRule="auto"/>
        <w:ind w:left="440" w:firstLine="440"/>
        <w:rPr>
          <w:rFonts w:hint="eastAsia" w:ascii="宋体" w:hAnsi="宋体" w:eastAsia="宋体" w:cs="宋体"/>
          <w:color w:val="auto"/>
          <w:sz w:val="22"/>
          <w:highlight w:val="none"/>
        </w:rPr>
      </w:pPr>
    </w:p>
    <w:p w14:paraId="33363A00">
      <w:pPr>
        <w:pStyle w:val="31"/>
        <w:spacing w:line="360" w:lineRule="auto"/>
        <w:ind w:left="440" w:firstLine="440"/>
        <w:rPr>
          <w:rFonts w:hint="eastAsia" w:ascii="宋体" w:hAnsi="宋体" w:eastAsia="宋体" w:cs="宋体"/>
          <w:color w:val="auto"/>
          <w:sz w:val="22"/>
          <w:highlight w:val="none"/>
        </w:rPr>
      </w:pPr>
    </w:p>
    <w:p w14:paraId="44FB9EB4">
      <w:pPr>
        <w:pStyle w:val="31"/>
        <w:spacing w:line="360" w:lineRule="auto"/>
        <w:ind w:left="440" w:firstLine="440"/>
        <w:rPr>
          <w:rFonts w:hint="eastAsia" w:ascii="宋体" w:hAnsi="宋体" w:eastAsia="宋体" w:cs="宋体"/>
          <w:color w:val="auto"/>
          <w:sz w:val="22"/>
          <w:highlight w:val="none"/>
        </w:rPr>
      </w:pPr>
    </w:p>
    <w:p w14:paraId="6DA29E51">
      <w:pPr>
        <w:pStyle w:val="31"/>
        <w:spacing w:line="360" w:lineRule="auto"/>
        <w:ind w:left="440" w:firstLine="440"/>
        <w:rPr>
          <w:rFonts w:hint="eastAsia" w:ascii="宋体" w:hAnsi="宋体" w:eastAsia="宋体" w:cs="宋体"/>
          <w:color w:val="auto"/>
          <w:sz w:val="22"/>
          <w:highlight w:val="none"/>
        </w:rPr>
      </w:pPr>
    </w:p>
    <w:p w14:paraId="5E6A4D59">
      <w:pPr>
        <w:pStyle w:val="31"/>
        <w:spacing w:line="360" w:lineRule="auto"/>
        <w:ind w:left="440" w:firstLine="440"/>
        <w:rPr>
          <w:rFonts w:hint="eastAsia" w:ascii="宋体" w:hAnsi="宋体" w:eastAsia="宋体" w:cs="宋体"/>
          <w:color w:val="auto"/>
          <w:sz w:val="22"/>
          <w:highlight w:val="none"/>
        </w:rPr>
        <w:sectPr>
          <w:headerReference r:id="rId3" w:type="default"/>
          <w:footerReference r:id="rId4" w:type="default"/>
          <w:pgSz w:w="11910" w:h="16840"/>
          <w:pgMar w:top="1440" w:right="1080" w:bottom="1440" w:left="1080" w:header="878" w:footer="1130" w:gutter="0"/>
          <w:pgNumType w:fmt="decimal" w:start="1"/>
          <w:cols w:space="720" w:num="1"/>
        </w:sectPr>
      </w:pPr>
    </w:p>
    <w:p w14:paraId="24A1BD92">
      <w:pPr>
        <w:rPr>
          <w:rFonts w:hint="eastAsia" w:ascii="宋体" w:hAnsi="宋体" w:eastAsia="宋体" w:cs="宋体"/>
        </w:rPr>
      </w:pPr>
    </w:p>
    <w:p w14:paraId="473A5E77">
      <w:pPr>
        <w:tabs>
          <w:tab w:val="left" w:pos="4280"/>
        </w:tabs>
        <w:spacing w:before="201" w:line="360" w:lineRule="auto"/>
        <w:jc w:val="center"/>
        <w:outlineLvl w:val="0"/>
        <w:rPr>
          <w:rFonts w:hint="eastAsia" w:ascii="宋体" w:hAnsi="宋体" w:eastAsia="宋体" w:cs="宋体"/>
          <w:b/>
          <w:color w:val="auto"/>
          <w:sz w:val="19"/>
          <w:highlight w:val="none"/>
          <w:lang w:eastAsia="zh-CN"/>
        </w:rPr>
      </w:pPr>
      <w:bookmarkStart w:id="7" w:name="_bookmark1"/>
      <w:bookmarkEnd w:id="7"/>
      <w:bookmarkStart w:id="8" w:name="_Toc11325"/>
      <w:r>
        <w:rPr>
          <w:rFonts w:hint="eastAsia" w:ascii="宋体" w:hAnsi="宋体" w:eastAsia="宋体" w:cs="宋体"/>
          <w:b/>
          <w:color w:val="auto"/>
          <w:sz w:val="32"/>
          <w:szCs w:val="32"/>
          <w:highlight w:val="none"/>
          <w:lang w:eastAsia="zh-CN"/>
        </w:rPr>
        <w:t>第一章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竞争性磋商公告</w:t>
      </w:r>
      <w:bookmarkEnd w:id="8"/>
    </w:p>
    <w:p w14:paraId="6F73DFB6">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b/>
          <w:bCs/>
          <w:color w:val="auto"/>
          <w:kern w:val="0"/>
          <w:sz w:val="24"/>
          <w:szCs w:val="24"/>
        </w:rPr>
      </w:pPr>
      <w:bookmarkStart w:id="9" w:name="_Toc6724"/>
      <w:r>
        <w:rPr>
          <w:rFonts w:hint="eastAsia" w:cs="宋体"/>
          <w:b/>
          <w:bCs/>
          <w:color w:val="auto"/>
          <w:sz w:val="28"/>
          <w:szCs w:val="28"/>
          <w:lang w:val="en-US" w:eastAsia="zh-CN"/>
        </w:rPr>
        <w:t>河南省开封生态环境监测中心实验用房水电改造项目</w:t>
      </w:r>
      <w:r>
        <w:rPr>
          <w:rFonts w:hint="eastAsia" w:ascii="宋体" w:hAnsi="宋体" w:eastAsia="宋体" w:cs="宋体"/>
          <w:b/>
          <w:bCs/>
          <w:color w:val="auto"/>
          <w:sz w:val="28"/>
          <w:szCs w:val="28"/>
        </w:rPr>
        <w:t>竞争性磋商公告</w:t>
      </w:r>
      <w:bookmarkEnd w:id="9"/>
    </w:p>
    <w:p w14:paraId="3D1526C6">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项目概况</w:t>
      </w:r>
    </w:p>
    <w:p w14:paraId="0AB7624D">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rPr>
      </w:pPr>
      <w:r>
        <w:rPr>
          <w:rFonts w:hint="eastAsia" w:cs="宋体"/>
          <w:color w:val="auto"/>
          <w:kern w:val="0"/>
          <w:sz w:val="22"/>
          <w:szCs w:val="22"/>
          <w:lang w:val="en-US" w:eastAsia="zh-CN"/>
        </w:rPr>
        <w:t>河南省开封生态环境监测中心实验用房水电改造项目</w:t>
      </w:r>
      <w:r>
        <w:rPr>
          <w:rFonts w:hint="eastAsia" w:ascii="宋体" w:hAnsi="宋体" w:eastAsia="宋体" w:cs="宋体"/>
          <w:color w:val="auto"/>
          <w:kern w:val="0"/>
          <w:sz w:val="22"/>
          <w:szCs w:val="22"/>
          <w:lang w:val="en" w:eastAsia="zh-CN"/>
        </w:rPr>
        <w:t>招标</w:t>
      </w:r>
      <w:r>
        <w:rPr>
          <w:rFonts w:hint="eastAsia" w:ascii="宋体" w:hAnsi="宋体" w:eastAsia="宋体" w:cs="宋体"/>
          <w:color w:val="auto"/>
          <w:kern w:val="0"/>
          <w:sz w:val="22"/>
          <w:szCs w:val="22"/>
          <w:highlight w:val="none"/>
          <w:lang w:val="en" w:eastAsia="zh-CN"/>
        </w:rPr>
        <w:t>项目</w:t>
      </w:r>
      <w:r>
        <w:rPr>
          <w:rFonts w:hint="eastAsia" w:ascii="宋体" w:hAnsi="宋体" w:eastAsia="宋体" w:cs="宋体"/>
          <w:color w:val="auto"/>
          <w:kern w:val="0"/>
          <w:sz w:val="22"/>
          <w:szCs w:val="22"/>
          <w:highlight w:val="none"/>
        </w:rPr>
        <w:t>的潜在</w:t>
      </w:r>
      <w:r>
        <w:rPr>
          <w:rFonts w:hint="eastAsia" w:ascii="宋体" w:hAnsi="宋体" w:eastAsia="宋体" w:cs="宋体"/>
          <w:color w:val="auto"/>
          <w:kern w:val="0"/>
          <w:sz w:val="22"/>
          <w:szCs w:val="22"/>
          <w:highlight w:val="none"/>
          <w:lang w:val="en-US" w:eastAsia="zh-CN"/>
        </w:rPr>
        <w:t>投标人</w:t>
      </w:r>
      <w:r>
        <w:rPr>
          <w:rFonts w:hint="eastAsia" w:ascii="宋体" w:hAnsi="宋体" w:eastAsia="宋体" w:cs="宋体"/>
          <w:color w:val="auto"/>
          <w:kern w:val="0"/>
          <w:sz w:val="22"/>
          <w:szCs w:val="22"/>
          <w:highlight w:val="none"/>
        </w:rPr>
        <w:t>应在</w:t>
      </w:r>
      <w:r>
        <w:rPr>
          <w:rFonts w:hint="eastAsia" w:ascii="宋体" w:hAnsi="宋体" w:eastAsia="宋体" w:cs="宋体"/>
          <w:color w:val="auto"/>
          <w:kern w:val="0"/>
          <w:sz w:val="22"/>
          <w:szCs w:val="22"/>
          <w:highlight w:val="none"/>
          <w:lang w:eastAsia="zh-CN"/>
        </w:rPr>
        <w:t>河南省公共资源交易中心（</w:t>
      </w:r>
      <w:r>
        <w:rPr>
          <w:rFonts w:hint="eastAsia" w:cs="宋体"/>
          <w:color w:val="auto"/>
          <w:kern w:val="0"/>
          <w:sz w:val="22"/>
          <w:szCs w:val="22"/>
          <w:highlight w:val="none"/>
          <w:lang w:eastAsia="zh-CN"/>
        </w:rPr>
        <w:t>http://hnsggzyjy.henan.gov.cn</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获取</w:t>
      </w:r>
      <w:r>
        <w:rPr>
          <w:rFonts w:hint="eastAsia" w:ascii="宋体" w:hAnsi="宋体" w:eastAsia="宋体" w:cs="宋体"/>
          <w:color w:val="auto"/>
          <w:kern w:val="0"/>
          <w:sz w:val="22"/>
          <w:szCs w:val="22"/>
          <w:highlight w:val="none"/>
          <w:lang w:val="en-US" w:eastAsia="zh-CN"/>
        </w:rPr>
        <w:t>招标</w:t>
      </w:r>
      <w:r>
        <w:rPr>
          <w:rFonts w:hint="eastAsia" w:ascii="宋体" w:hAnsi="宋体" w:eastAsia="宋体" w:cs="宋体"/>
          <w:color w:val="auto"/>
          <w:kern w:val="0"/>
          <w:sz w:val="22"/>
          <w:szCs w:val="22"/>
          <w:highlight w:val="none"/>
        </w:rPr>
        <w:t>文件，并于202</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年</w:t>
      </w:r>
      <w:r>
        <w:rPr>
          <w:rFonts w:hint="eastAsia"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rPr>
        <w:t>月</w:t>
      </w:r>
      <w:r>
        <w:rPr>
          <w:rFonts w:hint="eastAsia" w:cs="宋体"/>
          <w:color w:val="auto"/>
          <w:kern w:val="0"/>
          <w:sz w:val="22"/>
          <w:szCs w:val="22"/>
          <w:highlight w:val="none"/>
          <w:lang w:val="en-US" w:eastAsia="zh-CN"/>
        </w:rPr>
        <w:t>02</w:t>
      </w:r>
      <w:r>
        <w:rPr>
          <w:rFonts w:hint="eastAsia" w:ascii="宋体" w:hAnsi="宋体" w:eastAsia="宋体" w:cs="宋体"/>
          <w:color w:val="auto"/>
          <w:kern w:val="0"/>
          <w:sz w:val="22"/>
          <w:szCs w:val="22"/>
          <w:highlight w:val="none"/>
        </w:rPr>
        <w:t>日09时00分（北</w:t>
      </w:r>
      <w:r>
        <w:rPr>
          <w:rFonts w:hint="eastAsia" w:ascii="宋体" w:hAnsi="宋体" w:eastAsia="宋体" w:cs="宋体"/>
          <w:color w:val="auto"/>
          <w:kern w:val="0"/>
          <w:sz w:val="22"/>
          <w:szCs w:val="22"/>
        </w:rPr>
        <w:t>京时间）前递交</w:t>
      </w:r>
      <w:r>
        <w:rPr>
          <w:rFonts w:hint="eastAsia" w:ascii="宋体" w:hAnsi="宋体" w:eastAsia="宋体" w:cs="宋体"/>
          <w:color w:val="auto"/>
          <w:kern w:val="0"/>
          <w:sz w:val="22"/>
          <w:szCs w:val="22"/>
          <w:lang w:eastAsia="zh-CN"/>
        </w:rPr>
        <w:t>响应文件</w:t>
      </w:r>
      <w:r>
        <w:rPr>
          <w:rFonts w:hint="eastAsia" w:ascii="宋体" w:hAnsi="宋体" w:eastAsia="宋体" w:cs="宋体"/>
          <w:color w:val="auto"/>
          <w:kern w:val="0"/>
          <w:sz w:val="22"/>
          <w:szCs w:val="22"/>
        </w:rPr>
        <w:t>。</w:t>
      </w:r>
    </w:p>
    <w:p w14:paraId="5D4A20B6">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rPr>
      </w:pPr>
      <w:bookmarkStart w:id="10" w:name="_Toc19689"/>
      <w:r>
        <w:rPr>
          <w:rFonts w:hint="eastAsia" w:ascii="宋体" w:hAnsi="宋体" w:eastAsia="宋体" w:cs="宋体"/>
          <w:b/>
          <w:bCs/>
          <w:color w:val="auto"/>
          <w:kern w:val="0"/>
          <w:sz w:val="22"/>
          <w:szCs w:val="22"/>
        </w:rPr>
        <w:t>一、项目基本情况</w:t>
      </w:r>
      <w:bookmarkEnd w:id="10"/>
    </w:p>
    <w:p w14:paraId="506E509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1、项目编号：豫财磋商采购-2024-1315</w:t>
      </w:r>
    </w:p>
    <w:p w14:paraId="305C7485">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2、项目名称：</w:t>
      </w:r>
      <w:r>
        <w:rPr>
          <w:rFonts w:hint="eastAsia" w:cs="宋体"/>
          <w:color w:val="auto"/>
          <w:kern w:val="0"/>
          <w:sz w:val="22"/>
          <w:szCs w:val="22"/>
          <w:lang w:val="en-US" w:eastAsia="zh-CN"/>
        </w:rPr>
        <w:t>河南省开封生态环境监测中心实验用房水电改造项目</w:t>
      </w:r>
    </w:p>
    <w:p w14:paraId="57786859">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3、采购方式：竞争性磋商</w:t>
      </w:r>
    </w:p>
    <w:p w14:paraId="5DAFB2B3">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lang w:val="en" w:eastAsia="zh-CN"/>
        </w:rPr>
        <w:t>4、预算金额：</w:t>
      </w:r>
      <w:bookmarkStart w:id="11" w:name="_Toc22921"/>
      <w:r>
        <w:rPr>
          <w:rFonts w:hint="eastAsia" w:cs="宋体"/>
          <w:color w:val="auto"/>
          <w:kern w:val="0"/>
          <w:sz w:val="22"/>
          <w:szCs w:val="22"/>
          <w:lang w:val="en" w:eastAsia="zh-CN"/>
        </w:rPr>
        <w:t>1902000.00</w:t>
      </w:r>
      <w:r>
        <w:rPr>
          <w:rFonts w:hint="eastAsia" w:ascii="宋体" w:hAnsi="宋体" w:eastAsia="宋体" w:cs="宋体"/>
          <w:color w:val="auto"/>
          <w:kern w:val="0"/>
          <w:sz w:val="22"/>
          <w:szCs w:val="22"/>
          <w:highlight w:val="none"/>
          <w:lang w:val="en" w:eastAsia="zh-CN"/>
        </w:rPr>
        <w:t>元</w:t>
      </w:r>
    </w:p>
    <w:p w14:paraId="228077B3">
      <w:pPr>
        <w:keepNext w:val="0"/>
        <w:keepLines w:val="0"/>
        <w:pageBreakBefore w:val="0"/>
        <w:kinsoku/>
        <w:wordWrap w:val="0"/>
        <w:overflowPunct/>
        <w:topLinePunct w:val="0"/>
        <w:bidi w:val="0"/>
        <w:adjustRightInd w:val="0"/>
        <w:snapToGrid w:val="0"/>
        <w:spacing w:line="360" w:lineRule="auto"/>
        <w:ind w:firstLine="660" w:firstLineChars="3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最高限价：</w:t>
      </w:r>
      <w:r>
        <w:rPr>
          <w:rFonts w:hint="eastAsia" w:cs="宋体"/>
          <w:color w:val="auto"/>
          <w:kern w:val="0"/>
          <w:sz w:val="22"/>
          <w:szCs w:val="22"/>
          <w:highlight w:val="none"/>
          <w:lang w:val="en" w:eastAsia="zh-CN"/>
        </w:rPr>
        <w:t>1902000.00</w:t>
      </w:r>
      <w:r>
        <w:rPr>
          <w:rFonts w:hint="eastAsia" w:ascii="宋体" w:hAnsi="宋体" w:eastAsia="宋体" w:cs="宋体"/>
          <w:color w:val="auto"/>
          <w:kern w:val="0"/>
          <w:sz w:val="22"/>
          <w:szCs w:val="22"/>
          <w:highlight w:val="none"/>
          <w:lang w:val="en" w:eastAsia="zh-CN"/>
        </w:rPr>
        <w:t>元</w:t>
      </w:r>
    </w:p>
    <w:tbl>
      <w:tblPr>
        <w:tblStyle w:val="32"/>
        <w:tblW w:w="513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2"/>
        <w:gridCol w:w="1599"/>
        <w:gridCol w:w="3766"/>
        <w:gridCol w:w="1984"/>
        <w:gridCol w:w="2047"/>
      </w:tblGrid>
      <w:tr w14:paraId="506BA8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1" w:hRule="atLeast"/>
        </w:trPr>
        <w:tc>
          <w:tcPr>
            <w:tcW w:w="315" w:type="pct"/>
            <w:noWrap w:val="0"/>
            <w:vAlign w:val="center"/>
          </w:tcPr>
          <w:p w14:paraId="6379D55C">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797" w:type="pct"/>
            <w:noWrap w:val="0"/>
            <w:vAlign w:val="center"/>
          </w:tcPr>
          <w:p w14:paraId="12FEBE3C">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包号</w:t>
            </w:r>
          </w:p>
        </w:tc>
        <w:tc>
          <w:tcPr>
            <w:tcW w:w="1877" w:type="pct"/>
            <w:noWrap w:val="0"/>
            <w:vAlign w:val="center"/>
          </w:tcPr>
          <w:p w14:paraId="221FD2A8">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包名称</w:t>
            </w:r>
          </w:p>
        </w:tc>
        <w:tc>
          <w:tcPr>
            <w:tcW w:w="989" w:type="pct"/>
            <w:noWrap w:val="0"/>
            <w:vAlign w:val="center"/>
          </w:tcPr>
          <w:p w14:paraId="0C7DA7D7">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包预算（元）</w:t>
            </w:r>
          </w:p>
        </w:tc>
        <w:tc>
          <w:tcPr>
            <w:tcW w:w="1020" w:type="pct"/>
            <w:noWrap w:val="0"/>
            <w:vAlign w:val="center"/>
          </w:tcPr>
          <w:p w14:paraId="4F6ED846">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包最高限价（元）</w:t>
            </w:r>
          </w:p>
        </w:tc>
      </w:tr>
      <w:tr w14:paraId="36F0B0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3" w:hRule="atLeast"/>
        </w:trPr>
        <w:tc>
          <w:tcPr>
            <w:tcW w:w="315" w:type="pct"/>
            <w:noWrap w:val="0"/>
            <w:vAlign w:val="center"/>
          </w:tcPr>
          <w:p w14:paraId="54554880">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599" w:type="dxa"/>
            <w:noWrap w:val="0"/>
            <w:vAlign w:val="center"/>
          </w:tcPr>
          <w:p w14:paraId="5995ABD9">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default" w:ascii="宋体" w:hAnsi="宋体" w:eastAsia="宋体" w:cs="宋体"/>
                <w:color w:val="auto"/>
                <w:kern w:val="0"/>
                <w:sz w:val="22"/>
                <w:szCs w:val="22"/>
                <w:highlight w:val="green"/>
                <w:lang w:val="en-US" w:eastAsia="zh-CN"/>
              </w:rPr>
            </w:pPr>
            <w:r>
              <w:rPr>
                <w:rFonts w:hint="default" w:ascii="宋体" w:hAnsi="宋体" w:eastAsia="宋体" w:cs="宋体"/>
                <w:color w:val="auto"/>
                <w:kern w:val="0"/>
                <w:sz w:val="22"/>
                <w:szCs w:val="22"/>
                <w:highlight w:val="none"/>
                <w:lang w:val="en-US" w:eastAsia="zh-CN"/>
              </w:rPr>
              <w:t>豫政采(2)20241987-1</w:t>
            </w:r>
          </w:p>
        </w:tc>
        <w:tc>
          <w:tcPr>
            <w:tcW w:w="1877" w:type="pct"/>
            <w:noWrap w:val="0"/>
            <w:vAlign w:val="center"/>
          </w:tcPr>
          <w:p w14:paraId="5A650BF2">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包1：施工</w:t>
            </w:r>
          </w:p>
        </w:tc>
        <w:tc>
          <w:tcPr>
            <w:tcW w:w="989" w:type="pct"/>
            <w:noWrap w:val="0"/>
            <w:vAlign w:val="center"/>
          </w:tcPr>
          <w:p w14:paraId="2D5BD101">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1873470.00</w:t>
            </w:r>
          </w:p>
        </w:tc>
        <w:tc>
          <w:tcPr>
            <w:tcW w:w="1020" w:type="pct"/>
            <w:noWrap w:val="0"/>
            <w:vAlign w:val="center"/>
          </w:tcPr>
          <w:p w14:paraId="4400F8B3">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1873470.00</w:t>
            </w:r>
          </w:p>
        </w:tc>
      </w:tr>
      <w:tr w14:paraId="6309F8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3" w:hRule="atLeast"/>
        </w:trPr>
        <w:tc>
          <w:tcPr>
            <w:tcW w:w="315" w:type="pct"/>
            <w:noWrap w:val="0"/>
            <w:vAlign w:val="center"/>
          </w:tcPr>
          <w:p w14:paraId="6498383F">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c>
          <w:tcPr>
            <w:tcW w:w="1599" w:type="dxa"/>
            <w:noWrap w:val="0"/>
            <w:vAlign w:val="center"/>
          </w:tcPr>
          <w:p w14:paraId="5F575304">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default" w:ascii="宋体" w:hAnsi="宋体" w:eastAsia="宋体" w:cs="宋体"/>
                <w:color w:val="auto"/>
                <w:kern w:val="0"/>
                <w:sz w:val="22"/>
                <w:szCs w:val="22"/>
                <w:highlight w:val="green"/>
                <w:lang w:val="en-US" w:eastAsia="zh-CN"/>
              </w:rPr>
            </w:pPr>
            <w:r>
              <w:rPr>
                <w:rFonts w:hint="default" w:ascii="宋体" w:hAnsi="宋体" w:eastAsia="宋体" w:cs="宋体"/>
                <w:color w:val="auto"/>
                <w:kern w:val="0"/>
                <w:sz w:val="22"/>
                <w:szCs w:val="22"/>
                <w:highlight w:val="none"/>
                <w:lang w:val="en-US" w:eastAsia="zh-CN"/>
              </w:rPr>
              <w:t>豫政采(2)20241987-2</w:t>
            </w:r>
          </w:p>
        </w:tc>
        <w:tc>
          <w:tcPr>
            <w:tcW w:w="1877" w:type="pct"/>
            <w:noWrap w:val="0"/>
            <w:vAlign w:val="center"/>
          </w:tcPr>
          <w:p w14:paraId="26AB07EB">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包2：监理</w:t>
            </w:r>
          </w:p>
        </w:tc>
        <w:tc>
          <w:tcPr>
            <w:tcW w:w="989" w:type="pct"/>
            <w:shd w:val="clear" w:color="auto" w:fill="auto"/>
            <w:noWrap w:val="0"/>
            <w:vAlign w:val="center"/>
          </w:tcPr>
          <w:p w14:paraId="4A944ED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28530.00</w:t>
            </w:r>
          </w:p>
        </w:tc>
        <w:tc>
          <w:tcPr>
            <w:tcW w:w="1020" w:type="pct"/>
            <w:shd w:val="clear" w:color="auto" w:fill="auto"/>
            <w:noWrap w:val="0"/>
            <w:vAlign w:val="center"/>
          </w:tcPr>
          <w:p w14:paraId="39AB480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28530.00</w:t>
            </w:r>
          </w:p>
        </w:tc>
      </w:tr>
    </w:tbl>
    <w:p w14:paraId="33A025B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5、采购需求</w:t>
      </w:r>
      <w:bookmarkEnd w:id="11"/>
      <w:r>
        <w:rPr>
          <w:rFonts w:hint="eastAsia" w:ascii="宋体" w:hAnsi="宋体" w:eastAsia="宋体" w:cs="宋体"/>
          <w:color w:val="auto"/>
          <w:kern w:val="0"/>
          <w:sz w:val="22"/>
          <w:szCs w:val="22"/>
          <w:lang w:val="en" w:eastAsia="zh-CN"/>
        </w:rPr>
        <w:t>（包括但不限于标的的名称、数量、简要技术需求或服务要求等）</w:t>
      </w:r>
    </w:p>
    <w:p w14:paraId="49003BF5">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5.1 项目概况：</w:t>
      </w:r>
      <w:r>
        <w:rPr>
          <w:rFonts w:hint="eastAsia" w:cs="宋体"/>
          <w:color w:val="auto"/>
          <w:kern w:val="0"/>
          <w:sz w:val="22"/>
          <w:szCs w:val="22"/>
          <w:highlight w:val="none"/>
          <w:lang w:val="en-US" w:eastAsia="zh-CN"/>
        </w:rPr>
        <w:t>河南省开封生态环境监测中心实验用房水电改造项目主要建设内容为墙面、天棚装修装饰；给排水、电气等项目的改造。</w:t>
      </w:r>
    </w:p>
    <w:p w14:paraId="07A32091">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lang w:val="en-US" w:eastAsia="zh-CN"/>
        </w:rPr>
        <w:t xml:space="preserve">5.2 </w:t>
      </w:r>
      <w:r>
        <w:rPr>
          <w:rFonts w:hint="eastAsia" w:ascii="宋体" w:hAnsi="宋体" w:eastAsia="宋体" w:cs="宋体"/>
          <w:color w:val="auto"/>
          <w:kern w:val="0"/>
          <w:sz w:val="22"/>
          <w:szCs w:val="22"/>
          <w:lang w:val="en" w:eastAsia="zh-CN"/>
        </w:rPr>
        <w:t>采购内容</w:t>
      </w:r>
      <w:r>
        <w:rPr>
          <w:rFonts w:hint="eastAsia" w:ascii="宋体" w:hAnsi="宋体" w:eastAsia="宋体" w:cs="宋体"/>
          <w:color w:val="auto"/>
          <w:kern w:val="0"/>
          <w:sz w:val="22"/>
          <w:szCs w:val="22"/>
          <w:highlight w:val="none"/>
          <w:lang w:val="en" w:eastAsia="zh-CN"/>
        </w:rPr>
        <w:t>：</w:t>
      </w:r>
      <w:r>
        <w:rPr>
          <w:rFonts w:hint="eastAsia" w:cs="宋体"/>
          <w:color w:val="auto"/>
          <w:kern w:val="0"/>
          <w:sz w:val="22"/>
          <w:szCs w:val="22"/>
          <w:highlight w:val="none"/>
          <w:lang w:val="en-US" w:eastAsia="zh-CN"/>
        </w:rPr>
        <w:t>包1：</w:t>
      </w:r>
      <w:r>
        <w:rPr>
          <w:rFonts w:hint="eastAsia" w:ascii="宋体" w:hAnsi="宋体" w:eastAsia="宋体" w:cs="宋体"/>
          <w:sz w:val="22"/>
          <w:szCs w:val="22"/>
          <w:highlight w:val="none"/>
          <w:lang w:val="en-US" w:eastAsia="zh-CN"/>
        </w:rPr>
        <w:t>磋商文件</w:t>
      </w:r>
      <w:r>
        <w:rPr>
          <w:rFonts w:hint="eastAsia" w:ascii="宋体" w:hAnsi="宋体" w:eastAsia="宋体" w:cs="宋体"/>
          <w:sz w:val="22"/>
          <w:szCs w:val="22"/>
          <w:highlight w:val="none"/>
        </w:rPr>
        <w:t>、</w:t>
      </w:r>
      <w:r>
        <w:rPr>
          <w:rFonts w:hint="eastAsia" w:ascii="宋体" w:hAnsi="宋体" w:cs="宋体"/>
          <w:sz w:val="22"/>
          <w:szCs w:val="22"/>
          <w:highlight w:val="none"/>
        </w:rPr>
        <w:t>工程量清单及施工图纸范围内的全部内容</w:t>
      </w:r>
      <w:r>
        <w:rPr>
          <w:rFonts w:hint="eastAsia" w:cs="宋体"/>
          <w:sz w:val="22"/>
          <w:szCs w:val="22"/>
          <w:highlight w:val="none"/>
          <w:lang w:eastAsia="zh-CN"/>
        </w:rPr>
        <w:t>；</w:t>
      </w:r>
      <w:r>
        <w:rPr>
          <w:rFonts w:hint="eastAsia" w:cs="宋体"/>
          <w:sz w:val="22"/>
          <w:szCs w:val="22"/>
          <w:highlight w:val="none"/>
          <w:lang w:val="en-US" w:eastAsia="zh-CN"/>
        </w:rPr>
        <w:t>包2：施工阶段及缺陷责任期全过程监理工作</w:t>
      </w:r>
      <w:r>
        <w:rPr>
          <w:rFonts w:hint="eastAsia" w:cs="宋体"/>
          <w:sz w:val="22"/>
          <w:szCs w:val="22"/>
          <w:highlight w:val="none"/>
          <w:lang w:eastAsia="zh-CN"/>
        </w:rPr>
        <w:t>。</w:t>
      </w:r>
    </w:p>
    <w:p w14:paraId="18BC46D2">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US" w:eastAsia="zh-CN"/>
        </w:rPr>
        <w:t xml:space="preserve">5.3 </w:t>
      </w:r>
      <w:r>
        <w:rPr>
          <w:rFonts w:hint="eastAsia" w:ascii="宋体" w:hAnsi="宋体" w:eastAsia="宋体" w:cs="宋体"/>
          <w:color w:val="auto"/>
          <w:kern w:val="0"/>
          <w:sz w:val="22"/>
          <w:szCs w:val="22"/>
          <w:highlight w:val="none"/>
          <w:lang w:val="en" w:eastAsia="zh-CN"/>
        </w:rPr>
        <w:t>质量</w:t>
      </w:r>
      <w:r>
        <w:rPr>
          <w:rFonts w:hint="eastAsia" w:ascii="宋体" w:hAnsi="宋体" w:eastAsia="宋体" w:cs="宋体"/>
          <w:color w:val="auto"/>
          <w:kern w:val="0"/>
          <w:sz w:val="22"/>
          <w:szCs w:val="22"/>
          <w:highlight w:val="none"/>
          <w:lang w:val="en-US" w:eastAsia="zh-CN"/>
        </w:rPr>
        <w:t>要求</w:t>
      </w:r>
      <w:r>
        <w:rPr>
          <w:rFonts w:hint="eastAsia" w:ascii="宋体" w:hAnsi="宋体" w:eastAsia="宋体" w:cs="宋体"/>
          <w:color w:val="auto"/>
          <w:kern w:val="0"/>
          <w:sz w:val="22"/>
          <w:szCs w:val="22"/>
          <w:highlight w:val="none"/>
          <w:lang w:val="en" w:eastAsia="zh-CN"/>
        </w:rPr>
        <w:t>：达到国家质量验收规范合格标准</w:t>
      </w:r>
    </w:p>
    <w:p w14:paraId="4FB6D8A5">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5.4 </w:t>
      </w:r>
      <w:r>
        <w:rPr>
          <w:rFonts w:hint="eastAsia" w:cs="宋体"/>
          <w:color w:val="auto"/>
          <w:kern w:val="0"/>
          <w:sz w:val="22"/>
          <w:szCs w:val="22"/>
          <w:highlight w:val="none"/>
          <w:lang w:val="en-US" w:eastAsia="zh-CN"/>
        </w:rPr>
        <w:t>计划</w:t>
      </w:r>
      <w:r>
        <w:rPr>
          <w:rFonts w:hint="eastAsia" w:ascii="宋体" w:hAnsi="宋体" w:eastAsia="宋体" w:cs="宋体"/>
          <w:color w:val="auto"/>
          <w:kern w:val="0"/>
          <w:sz w:val="22"/>
          <w:szCs w:val="22"/>
          <w:highlight w:val="none"/>
          <w:lang w:val="en" w:eastAsia="zh-CN"/>
        </w:rPr>
        <w:t>工期：</w:t>
      </w:r>
      <w:r>
        <w:rPr>
          <w:rFonts w:hint="eastAsia" w:cs="宋体"/>
          <w:color w:val="auto"/>
          <w:kern w:val="0"/>
          <w:sz w:val="22"/>
          <w:szCs w:val="22"/>
          <w:highlight w:val="none"/>
          <w:lang w:val="en-US" w:eastAsia="zh-CN"/>
        </w:rPr>
        <w:t>50日历天</w:t>
      </w:r>
      <w:r>
        <w:rPr>
          <w:rFonts w:hint="eastAsia" w:ascii="宋体" w:hAnsi="宋体" w:eastAsia="宋体" w:cs="宋体"/>
          <w:color w:val="auto"/>
          <w:kern w:val="0"/>
          <w:sz w:val="22"/>
          <w:szCs w:val="22"/>
          <w:highlight w:val="none"/>
          <w:lang w:val="en" w:eastAsia="zh-CN"/>
        </w:rPr>
        <w:t>；</w:t>
      </w:r>
      <w:r>
        <w:rPr>
          <w:rFonts w:hint="eastAsia" w:cs="宋体"/>
          <w:color w:val="auto"/>
          <w:kern w:val="0"/>
          <w:sz w:val="22"/>
          <w:szCs w:val="22"/>
          <w:highlight w:val="none"/>
          <w:lang w:val="en-US" w:eastAsia="zh-CN"/>
        </w:rPr>
        <w:t>监理服务期：同施工合同工期及保修期</w:t>
      </w:r>
    </w:p>
    <w:p w14:paraId="6376CE3C">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5.5 项目地点：</w:t>
      </w:r>
      <w:r>
        <w:rPr>
          <w:rFonts w:hint="eastAsia" w:cs="宋体"/>
          <w:color w:val="auto"/>
          <w:kern w:val="0"/>
          <w:sz w:val="22"/>
          <w:szCs w:val="22"/>
          <w:highlight w:val="none"/>
          <w:lang w:val="en-US" w:eastAsia="zh-CN"/>
        </w:rPr>
        <w:t>河南省开封市</w:t>
      </w:r>
    </w:p>
    <w:p w14:paraId="2BCFD526">
      <w:pPr>
        <w:keepNext w:val="0"/>
        <w:keepLines w:val="0"/>
        <w:pageBreakBefore w:val="0"/>
        <w:kinsoku/>
        <w:wordWrap w:val="0"/>
        <w:overflowPunct/>
        <w:topLinePunct w:val="0"/>
        <w:bidi w:val="0"/>
        <w:adjustRightInd w:val="0"/>
        <w:snapToGrid w:val="0"/>
        <w:spacing w:line="360" w:lineRule="auto"/>
        <w:ind w:firstLine="420" w:firstLineChars="200"/>
        <w:textAlignment w:val="baseline"/>
        <w:outlineLvl w:val="9"/>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5.6 包段划分：</w:t>
      </w:r>
      <w:r>
        <w:rPr>
          <w:rFonts w:hint="eastAsia" w:cs="宋体"/>
          <w:sz w:val="22"/>
          <w:szCs w:val="22"/>
          <w:highlight w:val="none"/>
          <w:lang w:val="en-US" w:eastAsia="zh-CN"/>
        </w:rPr>
        <w:t>本项目共2个包，包1为施工；包2为监理。</w:t>
      </w:r>
    </w:p>
    <w:p w14:paraId="2D0134AA">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lang w:val="en" w:eastAsia="zh-CN"/>
        </w:rPr>
        <w:t>6、合同履行期限：</w:t>
      </w:r>
      <w:r>
        <w:rPr>
          <w:rFonts w:hint="eastAsia" w:cs="宋体"/>
          <w:color w:val="auto"/>
          <w:kern w:val="0"/>
          <w:sz w:val="22"/>
          <w:szCs w:val="22"/>
          <w:highlight w:val="none"/>
          <w:lang w:val="en-US" w:eastAsia="zh-CN"/>
        </w:rPr>
        <w:t>同施工合同工期及保修期</w:t>
      </w:r>
      <w:r>
        <w:rPr>
          <w:rFonts w:hint="eastAsia" w:ascii="宋体" w:hAnsi="宋体" w:eastAsia="宋体" w:cs="宋体"/>
          <w:color w:val="auto"/>
          <w:kern w:val="0"/>
          <w:sz w:val="22"/>
          <w:szCs w:val="22"/>
          <w:highlight w:val="none"/>
          <w:lang w:val="en" w:eastAsia="zh-CN"/>
        </w:rPr>
        <w:t>；</w:t>
      </w:r>
    </w:p>
    <w:p w14:paraId="0B46108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7、本项目是否接受联合体投标：否</w:t>
      </w:r>
    </w:p>
    <w:p w14:paraId="226A0FCC">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8、是否接受进口产品：否</w:t>
      </w:r>
    </w:p>
    <w:p w14:paraId="6A5D70C4">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9、是否专门面向中小企业：</w:t>
      </w:r>
      <w:r>
        <w:rPr>
          <w:rFonts w:hint="eastAsia" w:cs="宋体"/>
          <w:color w:val="auto"/>
          <w:kern w:val="0"/>
          <w:sz w:val="22"/>
          <w:szCs w:val="22"/>
          <w:highlight w:val="none"/>
          <w:lang w:val="en-US" w:eastAsia="zh-CN"/>
        </w:rPr>
        <w:t>是</w:t>
      </w:r>
    </w:p>
    <w:p w14:paraId="7FF2F1D3">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rPr>
      </w:pPr>
      <w:bookmarkStart w:id="12" w:name="_Toc24240"/>
      <w:r>
        <w:rPr>
          <w:rFonts w:hint="eastAsia" w:ascii="宋体" w:hAnsi="宋体" w:eastAsia="宋体" w:cs="宋体"/>
          <w:b/>
          <w:bCs/>
          <w:color w:val="auto"/>
          <w:kern w:val="0"/>
          <w:sz w:val="22"/>
          <w:szCs w:val="22"/>
        </w:rPr>
        <w:t>二、申请人资格要求</w:t>
      </w:r>
      <w:bookmarkEnd w:id="12"/>
    </w:p>
    <w:p w14:paraId="03F33140">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1、满足《中华人民共和国政府采购法》第二十二条规定；</w:t>
      </w:r>
    </w:p>
    <w:p w14:paraId="25D42E67">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2、落实政府采购政策满足的资格要求：</w:t>
      </w:r>
    </w:p>
    <w:p w14:paraId="3B58241E">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本项目</w:t>
      </w:r>
      <w:r>
        <w:rPr>
          <w:rFonts w:hint="eastAsia" w:cs="宋体"/>
          <w:color w:val="auto"/>
          <w:kern w:val="0"/>
          <w:sz w:val="22"/>
          <w:szCs w:val="22"/>
          <w:lang w:val="en-US" w:eastAsia="zh-CN"/>
        </w:rPr>
        <w:t>为专门面向中小微企业采购；</w:t>
      </w:r>
      <w:r>
        <w:rPr>
          <w:rFonts w:hint="eastAsia" w:ascii="宋体" w:hAnsi="宋体" w:eastAsia="宋体" w:cs="宋体"/>
          <w:color w:val="auto"/>
          <w:kern w:val="0"/>
          <w:sz w:val="22"/>
          <w:szCs w:val="22"/>
          <w:lang w:val="en" w:eastAsia="zh-CN"/>
        </w:rPr>
        <w:t>执行促进中小型企业发展政策（监狱企业、残疾人福利性单位视同小微企业）、强制采购节能产品、优先采购节能环保产品、优先采购国货等政府采购政策。</w:t>
      </w:r>
    </w:p>
    <w:p w14:paraId="09981517">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bookmarkStart w:id="13" w:name="_Toc17436"/>
      <w:r>
        <w:rPr>
          <w:rFonts w:hint="eastAsia" w:ascii="宋体" w:hAnsi="宋体" w:eastAsia="宋体" w:cs="宋体"/>
          <w:color w:val="auto"/>
          <w:kern w:val="0"/>
          <w:sz w:val="22"/>
          <w:szCs w:val="22"/>
          <w:lang w:val="en" w:eastAsia="zh-CN"/>
        </w:rPr>
        <w:t>3、本项目的特定资格要求</w:t>
      </w:r>
      <w:bookmarkEnd w:id="13"/>
    </w:p>
    <w:p w14:paraId="3BF3619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cs="宋体"/>
          <w:color w:val="auto"/>
          <w:kern w:val="0"/>
          <w:sz w:val="22"/>
          <w:szCs w:val="22"/>
          <w:lang w:val="en-US" w:eastAsia="zh-CN"/>
        </w:rPr>
      </w:pPr>
      <w:bookmarkStart w:id="14" w:name="_Toc4963"/>
      <w:r>
        <w:rPr>
          <w:rFonts w:hint="eastAsia" w:ascii="宋体" w:hAnsi="宋体" w:eastAsia="宋体" w:cs="宋体"/>
          <w:color w:val="auto"/>
          <w:kern w:val="0"/>
          <w:sz w:val="22"/>
          <w:szCs w:val="22"/>
          <w:lang w:val="en" w:eastAsia="zh-CN"/>
        </w:rPr>
        <w:t>3.1</w:t>
      </w:r>
      <w:r>
        <w:rPr>
          <w:rFonts w:hint="eastAsia" w:cs="宋体"/>
          <w:color w:val="auto"/>
          <w:kern w:val="0"/>
          <w:sz w:val="22"/>
          <w:szCs w:val="22"/>
          <w:lang w:val="en-US" w:eastAsia="zh-CN"/>
        </w:rPr>
        <w:t xml:space="preserve"> 包1要求：</w:t>
      </w:r>
    </w:p>
    <w:p w14:paraId="532B7F3E">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cs="宋体"/>
          <w:color w:val="auto"/>
          <w:kern w:val="0"/>
          <w:sz w:val="22"/>
          <w:szCs w:val="22"/>
          <w:lang w:val="en-US" w:eastAsia="zh-CN"/>
        </w:rPr>
        <w:t>（1）</w:t>
      </w:r>
      <w:r>
        <w:rPr>
          <w:rFonts w:hint="eastAsia" w:ascii="宋体" w:hAnsi="宋体" w:eastAsia="宋体" w:cs="宋体"/>
          <w:color w:val="auto"/>
          <w:kern w:val="0"/>
          <w:sz w:val="22"/>
          <w:szCs w:val="22"/>
          <w:lang w:val="en-US" w:eastAsia="zh-CN"/>
        </w:rPr>
        <w:t>资质</w:t>
      </w:r>
      <w:r>
        <w:rPr>
          <w:rFonts w:hint="eastAsia" w:ascii="宋体" w:hAnsi="宋体" w:eastAsia="宋体" w:cs="宋体"/>
          <w:color w:val="auto"/>
          <w:kern w:val="0"/>
          <w:sz w:val="22"/>
          <w:szCs w:val="22"/>
          <w:lang w:val="en" w:eastAsia="zh-CN"/>
        </w:rPr>
        <w:t>要求：</w:t>
      </w:r>
      <w:r>
        <w:rPr>
          <w:rFonts w:hint="eastAsia" w:ascii="宋体" w:hAnsi="宋体" w:eastAsia="宋体" w:cs="宋体"/>
          <w:color w:val="auto"/>
          <w:kern w:val="0"/>
          <w:sz w:val="22"/>
          <w:szCs w:val="22"/>
          <w:lang w:val="zh-CN" w:eastAsia="zh-CN"/>
        </w:rPr>
        <w:t>供应商须具备建设行</w:t>
      </w:r>
      <w:r>
        <w:rPr>
          <w:rFonts w:hint="eastAsia" w:ascii="宋体" w:hAnsi="宋体" w:eastAsia="宋体" w:cs="宋体"/>
          <w:color w:val="auto"/>
          <w:kern w:val="0"/>
          <w:sz w:val="22"/>
          <w:szCs w:val="22"/>
          <w:highlight w:val="none"/>
          <w:lang w:val="zh-CN" w:eastAsia="zh-CN"/>
        </w:rPr>
        <w:t>政主管部门颁发的建筑工程施工总承包</w:t>
      </w:r>
      <w:r>
        <w:rPr>
          <w:rFonts w:hint="eastAsia" w:ascii="宋体" w:hAnsi="宋体" w:eastAsia="宋体" w:cs="宋体"/>
          <w:color w:val="auto"/>
          <w:kern w:val="0"/>
          <w:sz w:val="22"/>
          <w:szCs w:val="22"/>
          <w:highlight w:val="none"/>
          <w:lang w:val="en-US" w:eastAsia="zh-CN"/>
        </w:rPr>
        <w:t>叁级</w:t>
      </w:r>
      <w:r>
        <w:rPr>
          <w:rFonts w:hint="eastAsia" w:ascii="宋体" w:hAnsi="宋体" w:eastAsia="宋体" w:cs="宋体"/>
          <w:color w:val="auto"/>
          <w:kern w:val="0"/>
          <w:sz w:val="22"/>
          <w:szCs w:val="22"/>
          <w:highlight w:val="none"/>
          <w:lang w:val="zh-CN" w:eastAsia="zh-CN"/>
        </w:rPr>
        <w:t>及以上资质</w:t>
      </w:r>
      <w:r>
        <w:rPr>
          <w:rFonts w:hint="eastAsia" w:ascii="宋体" w:hAnsi="宋体" w:eastAsia="宋体" w:cs="宋体"/>
          <w:color w:val="auto"/>
          <w:kern w:val="0"/>
          <w:sz w:val="22"/>
          <w:szCs w:val="22"/>
          <w:highlight w:val="none"/>
          <w:lang w:val="en" w:eastAsia="zh-CN"/>
        </w:rPr>
        <w:t>；</w:t>
      </w:r>
      <w:r>
        <w:rPr>
          <w:rFonts w:hint="eastAsia" w:ascii="宋体" w:hAnsi="宋体" w:eastAsia="宋体" w:cs="宋体"/>
          <w:color w:val="auto"/>
          <w:kern w:val="0"/>
          <w:sz w:val="22"/>
          <w:szCs w:val="22"/>
          <w:lang w:val="zh-CN" w:eastAsia="zh-CN"/>
        </w:rPr>
        <w:t>具有有效的安全生产许可证，并在人员、设备、资金等方面具有相应的施工能力；</w:t>
      </w:r>
    </w:p>
    <w:p w14:paraId="0C803DE0">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zh-CN" w:eastAsia="zh-CN"/>
        </w:rPr>
      </w:pPr>
      <w:r>
        <w:rPr>
          <w:rFonts w:hint="eastAsia" w:cs="宋体"/>
          <w:color w:val="auto"/>
          <w:kern w:val="0"/>
          <w:sz w:val="22"/>
          <w:szCs w:val="22"/>
          <w:lang w:val="en-US" w:eastAsia="zh-CN"/>
        </w:rPr>
        <w:t>（2）</w:t>
      </w:r>
      <w:r>
        <w:rPr>
          <w:rFonts w:hint="eastAsia" w:ascii="宋体" w:hAnsi="宋体" w:eastAsia="宋体" w:cs="宋体"/>
          <w:color w:val="auto"/>
          <w:kern w:val="0"/>
          <w:sz w:val="22"/>
          <w:szCs w:val="22"/>
          <w:lang w:val="zh-CN" w:eastAsia="zh-CN"/>
        </w:rPr>
        <w:t>拟派项目经理须具有建筑工程专业贰级及以上注册建造师执业资格（不含临时），具备有效的安全生产考核证书；提供劳动合同及2024年1月份（含）以来任意一个月的社会保险缴纳证明材料，且未担任其他在建项目的项目经理（须出具无在建承诺书）；</w:t>
      </w:r>
    </w:p>
    <w:p w14:paraId="11334B79">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cs="宋体"/>
          <w:color w:val="auto"/>
          <w:kern w:val="0"/>
          <w:sz w:val="22"/>
          <w:szCs w:val="22"/>
          <w:lang w:val="en-US" w:eastAsia="zh-CN"/>
        </w:rPr>
      </w:pPr>
      <w:r>
        <w:rPr>
          <w:rFonts w:hint="eastAsia" w:cs="宋体"/>
          <w:color w:val="auto"/>
          <w:kern w:val="0"/>
          <w:sz w:val="22"/>
          <w:szCs w:val="22"/>
          <w:lang w:val="en-US" w:eastAsia="zh-CN"/>
        </w:rPr>
        <w:t>3.2 包2要求：</w:t>
      </w:r>
    </w:p>
    <w:p w14:paraId="4624F115">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cs="宋体"/>
          <w:color w:val="auto"/>
          <w:kern w:val="0"/>
          <w:sz w:val="22"/>
          <w:szCs w:val="22"/>
          <w:lang w:val="en-US" w:eastAsia="zh-CN"/>
        </w:rPr>
        <w:t>（1）</w:t>
      </w:r>
      <w:r>
        <w:rPr>
          <w:rFonts w:hint="eastAsia" w:ascii="宋体" w:hAnsi="宋体" w:eastAsia="宋体" w:cs="宋体"/>
          <w:color w:val="auto"/>
          <w:kern w:val="0"/>
          <w:sz w:val="22"/>
          <w:szCs w:val="22"/>
          <w:lang w:val="en-US" w:eastAsia="zh-CN"/>
        </w:rPr>
        <w:t>资质</w:t>
      </w:r>
      <w:r>
        <w:rPr>
          <w:rFonts w:hint="eastAsia" w:ascii="宋体" w:hAnsi="宋体" w:eastAsia="宋体" w:cs="宋体"/>
          <w:color w:val="auto"/>
          <w:kern w:val="0"/>
          <w:sz w:val="22"/>
          <w:szCs w:val="22"/>
          <w:lang w:val="en" w:eastAsia="zh-CN"/>
        </w:rPr>
        <w:t>要求：供应商须具有建设行政主管部门颁发的</w:t>
      </w:r>
      <w:r>
        <w:rPr>
          <w:rFonts w:hint="eastAsia" w:ascii="宋体" w:hAnsi="宋体" w:eastAsia="宋体" w:cs="宋体"/>
          <w:color w:val="auto"/>
          <w:kern w:val="0"/>
          <w:sz w:val="22"/>
          <w:szCs w:val="22"/>
          <w:lang w:val="en-US" w:eastAsia="zh-CN"/>
        </w:rPr>
        <w:t>房屋建筑</w:t>
      </w:r>
      <w:r>
        <w:rPr>
          <w:rFonts w:hint="eastAsia" w:ascii="宋体" w:hAnsi="宋体" w:eastAsia="宋体" w:cs="宋体"/>
          <w:color w:val="auto"/>
          <w:kern w:val="0"/>
          <w:sz w:val="22"/>
          <w:szCs w:val="22"/>
          <w:lang w:val="en" w:eastAsia="zh-CN"/>
        </w:rPr>
        <w:t>工程监理</w:t>
      </w:r>
      <w:r>
        <w:rPr>
          <w:rFonts w:hint="eastAsia" w:ascii="宋体" w:hAnsi="宋体" w:eastAsia="宋体" w:cs="宋体"/>
          <w:color w:val="auto"/>
          <w:kern w:val="0"/>
          <w:sz w:val="22"/>
          <w:szCs w:val="22"/>
          <w:lang w:val="en-US" w:eastAsia="zh-CN"/>
        </w:rPr>
        <w:t>丙</w:t>
      </w:r>
      <w:r>
        <w:rPr>
          <w:rFonts w:hint="eastAsia" w:ascii="宋体" w:hAnsi="宋体" w:eastAsia="宋体" w:cs="宋体"/>
          <w:color w:val="auto"/>
          <w:kern w:val="0"/>
          <w:sz w:val="22"/>
          <w:szCs w:val="22"/>
          <w:lang w:val="en" w:eastAsia="zh-CN"/>
        </w:rPr>
        <w:t>级（含）以上资质或工程监理综合资质；</w:t>
      </w:r>
    </w:p>
    <w:p w14:paraId="16B85FE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（2）拟派总监理工程师须本单位注册的房屋建筑工程专业国家注册监理工程师，持有合法有效的注册证书，</w:t>
      </w:r>
      <w:r>
        <w:rPr>
          <w:rFonts w:hint="eastAsia" w:ascii="宋体" w:hAnsi="宋体" w:eastAsia="宋体" w:cs="宋体"/>
          <w:color w:val="auto"/>
          <w:kern w:val="0"/>
          <w:sz w:val="22"/>
          <w:szCs w:val="22"/>
          <w:lang w:val="zh-CN" w:eastAsia="zh-CN"/>
        </w:rPr>
        <w:t>提供劳动合同及2024年1月份（含）以来任意一个月的社会保险缴纳证明材料；</w:t>
      </w:r>
    </w:p>
    <w:p w14:paraId="5F4A48C9">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zh-CN" w:eastAsia="zh-CN"/>
        </w:rPr>
        <w:t>3.</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lang w:val="zh-CN" w:eastAsia="zh-CN"/>
        </w:rPr>
        <w:t>、</w:t>
      </w:r>
      <w:r>
        <w:rPr>
          <w:rFonts w:hint="eastAsia" w:ascii="宋体" w:hAnsi="宋体" w:eastAsia="宋体" w:cs="宋体"/>
          <w:color w:val="auto"/>
          <w:kern w:val="0"/>
          <w:sz w:val="22"/>
          <w:szCs w:val="22"/>
          <w:lang w:val="en" w:eastAsia="zh-CN"/>
        </w:rPr>
        <w:t>根据《关于在政府采购活动中查询及使用信用记录有关问题的通知》(财库[2016]125号)的规定，对列入失信被执行人（查询渠道：中国执行信息公开网）、重大税收违法失信主体（查询渠道：信用中国）、政府采购严重违法失信行为记录名单（查询渠道：中国政府采购网）拒绝参与本项目政府采购活动，（注：代理机构在开标结束后对所有供应商信用记录进行查询，记录以代理机构开标登录网站查询结果为准，并将查询结果截图打印存档，若查询到供应商有相关负面信息的，则该供应商为无效供应商）；</w:t>
      </w:r>
    </w:p>
    <w:p w14:paraId="3D6E3368">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 w:eastAsia="zh-CN"/>
        </w:rPr>
        <w:t>3.</w:t>
      </w: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lang w:val="en" w:eastAsia="zh-CN"/>
        </w:rPr>
        <w:t>、</w:t>
      </w:r>
      <w:r>
        <w:rPr>
          <w:rFonts w:hint="eastAsia" w:ascii="宋体" w:hAnsi="宋体" w:eastAsia="宋体" w:cs="宋体"/>
          <w:color w:val="auto"/>
          <w:kern w:val="0"/>
          <w:sz w:val="22"/>
          <w:szCs w:val="22"/>
          <w:lang w:val="en-US" w:eastAsia="zh-CN"/>
        </w:rPr>
        <w:t>单位负责人为同一人或者存在直接控股、管理关系的不同供应商，不得参加同一合同项下的政府采购活动。提供在“国家企业信用信息公示系统”中查询的相关材料（需包含公司基础信息、股东信息及股权变更信息）或承诺书。</w:t>
      </w:r>
    </w:p>
    <w:p w14:paraId="485188AE">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lang w:val="en" w:eastAsia="zh-CN"/>
        </w:rPr>
      </w:pPr>
      <w:r>
        <w:rPr>
          <w:rFonts w:hint="eastAsia" w:ascii="宋体" w:hAnsi="宋体" w:eastAsia="宋体" w:cs="宋体"/>
          <w:color w:val="auto"/>
          <w:kern w:val="0"/>
          <w:sz w:val="22"/>
          <w:szCs w:val="22"/>
          <w:lang w:val="en-US" w:eastAsia="zh-CN"/>
        </w:rPr>
        <w:t>3.5.本次磋商不接受联合体。</w:t>
      </w:r>
    </w:p>
    <w:p w14:paraId="3CBF100F">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三、获取采购文件</w:t>
      </w:r>
      <w:bookmarkEnd w:id="14"/>
    </w:p>
    <w:p w14:paraId="18BE6A94">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lang w:val="en" w:eastAsia="zh-CN"/>
        </w:rPr>
        <w:t>1.时</w:t>
      </w:r>
      <w:r>
        <w:rPr>
          <w:rFonts w:hint="eastAsia" w:ascii="宋体" w:hAnsi="宋体" w:eastAsia="宋体" w:cs="宋体"/>
          <w:color w:val="auto"/>
          <w:kern w:val="0"/>
          <w:sz w:val="22"/>
          <w:szCs w:val="22"/>
          <w:highlight w:val="none"/>
          <w:lang w:val="en" w:eastAsia="zh-CN"/>
        </w:rPr>
        <w:t>间：202</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 w:eastAsia="zh-CN"/>
        </w:rPr>
        <w:t>年</w:t>
      </w:r>
      <w:r>
        <w:rPr>
          <w:rFonts w:hint="eastAsia" w:cs="宋体"/>
          <w:color w:val="auto"/>
          <w:kern w:val="0"/>
          <w:sz w:val="22"/>
          <w:szCs w:val="22"/>
          <w:highlight w:val="none"/>
          <w:lang w:val="en-US" w:eastAsia="zh-CN"/>
        </w:rPr>
        <w:t>11</w:t>
      </w:r>
      <w:r>
        <w:rPr>
          <w:rFonts w:hint="eastAsia" w:ascii="宋体" w:hAnsi="宋体" w:eastAsia="宋体" w:cs="宋体"/>
          <w:color w:val="auto"/>
          <w:kern w:val="0"/>
          <w:sz w:val="22"/>
          <w:szCs w:val="22"/>
          <w:highlight w:val="none"/>
          <w:lang w:val="en" w:eastAsia="zh-CN"/>
        </w:rPr>
        <w:t>月</w:t>
      </w:r>
      <w:r>
        <w:rPr>
          <w:rFonts w:hint="eastAsia" w:cs="宋体"/>
          <w:color w:val="auto"/>
          <w:kern w:val="0"/>
          <w:sz w:val="22"/>
          <w:szCs w:val="22"/>
          <w:highlight w:val="none"/>
          <w:lang w:val="en-US" w:eastAsia="zh-CN"/>
        </w:rPr>
        <w:t>21</w:t>
      </w:r>
      <w:r>
        <w:rPr>
          <w:rFonts w:hint="eastAsia" w:ascii="宋体" w:hAnsi="宋体" w:eastAsia="宋体" w:cs="宋体"/>
          <w:color w:val="auto"/>
          <w:kern w:val="0"/>
          <w:sz w:val="22"/>
          <w:szCs w:val="22"/>
          <w:highlight w:val="none"/>
          <w:lang w:val="en" w:eastAsia="zh-CN"/>
        </w:rPr>
        <w:t>日至202</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 w:eastAsia="zh-CN"/>
        </w:rPr>
        <w:t>年</w:t>
      </w:r>
      <w:r>
        <w:rPr>
          <w:rFonts w:hint="eastAsia" w:cs="宋体"/>
          <w:color w:val="auto"/>
          <w:kern w:val="0"/>
          <w:sz w:val="22"/>
          <w:szCs w:val="22"/>
          <w:highlight w:val="none"/>
          <w:lang w:val="en-US" w:eastAsia="zh-CN"/>
        </w:rPr>
        <w:t>11</w:t>
      </w:r>
      <w:r>
        <w:rPr>
          <w:rFonts w:hint="eastAsia" w:ascii="宋体" w:hAnsi="宋体" w:eastAsia="宋体" w:cs="宋体"/>
          <w:color w:val="auto"/>
          <w:kern w:val="0"/>
          <w:sz w:val="22"/>
          <w:szCs w:val="22"/>
          <w:highlight w:val="none"/>
          <w:lang w:val="en" w:eastAsia="zh-CN"/>
        </w:rPr>
        <w:t>月</w:t>
      </w:r>
      <w:r>
        <w:rPr>
          <w:rFonts w:hint="eastAsia" w:cs="宋体"/>
          <w:color w:val="auto"/>
          <w:kern w:val="0"/>
          <w:sz w:val="22"/>
          <w:szCs w:val="22"/>
          <w:highlight w:val="none"/>
          <w:lang w:val="en-US" w:eastAsia="zh-CN"/>
        </w:rPr>
        <w:t>27</w:t>
      </w:r>
      <w:r>
        <w:rPr>
          <w:rFonts w:hint="eastAsia" w:ascii="宋体" w:hAnsi="宋体" w:eastAsia="宋体" w:cs="宋体"/>
          <w:color w:val="auto"/>
          <w:kern w:val="0"/>
          <w:sz w:val="22"/>
          <w:szCs w:val="22"/>
          <w:highlight w:val="none"/>
          <w:lang w:val="en" w:eastAsia="zh-CN"/>
        </w:rPr>
        <w:t>日，每天上午00:00至12:00，下午12:00至23:59（北京时间，法定节假日除外。）</w:t>
      </w:r>
    </w:p>
    <w:p w14:paraId="325903B7">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2.地点：河南省公共资源交易中心（</w:t>
      </w:r>
      <w:r>
        <w:rPr>
          <w:rFonts w:hint="eastAsia" w:cs="宋体"/>
          <w:color w:val="auto"/>
          <w:kern w:val="0"/>
          <w:sz w:val="22"/>
          <w:szCs w:val="22"/>
          <w:highlight w:val="none"/>
          <w:lang w:val="en" w:eastAsia="zh-CN"/>
        </w:rPr>
        <w:t>http://hnsggzyjy.henan.gov.cn</w:t>
      </w:r>
      <w:r>
        <w:rPr>
          <w:rFonts w:hint="eastAsia" w:ascii="宋体" w:hAnsi="宋体" w:eastAsia="宋体" w:cs="宋体"/>
          <w:color w:val="auto"/>
          <w:kern w:val="0"/>
          <w:sz w:val="22"/>
          <w:szCs w:val="22"/>
          <w:highlight w:val="none"/>
          <w:lang w:val="en" w:eastAsia="zh-CN"/>
        </w:rPr>
        <w:t>）</w:t>
      </w:r>
    </w:p>
    <w:p w14:paraId="3746630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3.方式：登</w:t>
      </w:r>
      <w:r>
        <w:rPr>
          <w:rFonts w:hint="eastAsia" w:cs="宋体"/>
          <w:color w:val="auto"/>
          <w:kern w:val="0"/>
          <w:sz w:val="22"/>
          <w:szCs w:val="22"/>
          <w:highlight w:val="none"/>
          <w:lang w:val="en" w:eastAsia="zh-CN"/>
        </w:rPr>
        <w:t>录</w:t>
      </w:r>
      <w:r>
        <w:rPr>
          <w:rFonts w:hint="eastAsia" w:ascii="宋体" w:hAnsi="宋体" w:eastAsia="宋体" w:cs="宋体"/>
          <w:color w:val="auto"/>
          <w:kern w:val="0"/>
          <w:sz w:val="22"/>
          <w:szCs w:val="22"/>
          <w:highlight w:val="none"/>
          <w:lang w:val="en" w:eastAsia="zh-CN"/>
        </w:rPr>
        <w:t>“河南省公共资源交易中心(</w:t>
      </w:r>
      <w:r>
        <w:rPr>
          <w:rFonts w:hint="eastAsia" w:cs="宋体"/>
          <w:color w:val="auto"/>
          <w:kern w:val="0"/>
          <w:sz w:val="22"/>
          <w:szCs w:val="22"/>
          <w:highlight w:val="none"/>
          <w:lang w:val="en" w:eastAsia="zh-CN"/>
        </w:rPr>
        <w:t>http://hnsggzyjy.henan.gov.cn</w:t>
      </w:r>
      <w:r>
        <w:rPr>
          <w:rFonts w:hint="eastAsia" w:ascii="宋体" w:hAnsi="宋体" w:eastAsia="宋体" w:cs="宋体"/>
          <w:color w:val="auto"/>
          <w:kern w:val="0"/>
          <w:sz w:val="22"/>
          <w:szCs w:val="22"/>
          <w:highlight w:val="none"/>
          <w:lang w:val="en" w:eastAsia="zh-CN"/>
        </w:rPr>
        <w:t>)”网上，凭领取的企业身份认证锁（CA密钥）免费下载文件。市场主体需要完成信息登记及CA数字证书办理，才能通过河南省公共资源交易平台参与交易活动，具体办理事宜请查阅河南省公共资源交易中心网站“公共服务-办事指南”专区的《新交易平台使用手册（培训资料）》。</w:t>
      </w:r>
    </w:p>
    <w:p w14:paraId="4AF30912">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bookmarkStart w:id="15" w:name="_Toc19549"/>
      <w:r>
        <w:rPr>
          <w:rFonts w:hint="eastAsia" w:ascii="宋体" w:hAnsi="宋体" w:eastAsia="宋体" w:cs="宋体"/>
          <w:color w:val="auto"/>
          <w:kern w:val="0"/>
          <w:sz w:val="22"/>
          <w:szCs w:val="22"/>
          <w:highlight w:val="none"/>
          <w:lang w:val="en" w:eastAsia="zh-CN"/>
        </w:rPr>
        <w:t>4.售价：0元</w:t>
      </w:r>
      <w:bookmarkEnd w:id="15"/>
    </w:p>
    <w:p w14:paraId="394CA8F4">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highlight w:val="none"/>
        </w:rPr>
      </w:pPr>
      <w:bookmarkStart w:id="16" w:name="_Toc31917"/>
      <w:r>
        <w:rPr>
          <w:rFonts w:hint="eastAsia" w:ascii="宋体" w:hAnsi="宋体" w:eastAsia="宋体" w:cs="宋体"/>
          <w:b/>
          <w:bCs/>
          <w:color w:val="auto"/>
          <w:kern w:val="0"/>
          <w:sz w:val="22"/>
          <w:szCs w:val="22"/>
          <w:highlight w:val="none"/>
        </w:rPr>
        <w:t>四、响应文件提交</w:t>
      </w:r>
      <w:bookmarkEnd w:id="16"/>
    </w:p>
    <w:p w14:paraId="3A6FBBF1">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1.</w:t>
      </w:r>
      <w:r>
        <w:rPr>
          <w:rFonts w:hint="eastAsia" w:cs="宋体"/>
          <w:color w:val="auto"/>
          <w:kern w:val="0"/>
          <w:sz w:val="22"/>
          <w:szCs w:val="22"/>
          <w:highlight w:val="none"/>
          <w:lang w:val="en-US" w:eastAsia="zh-CN"/>
        </w:rPr>
        <w:t>截止</w:t>
      </w:r>
      <w:r>
        <w:rPr>
          <w:rFonts w:hint="eastAsia" w:ascii="宋体" w:hAnsi="宋体" w:eastAsia="宋体" w:cs="宋体"/>
          <w:color w:val="auto"/>
          <w:kern w:val="0"/>
          <w:sz w:val="22"/>
          <w:szCs w:val="22"/>
          <w:highlight w:val="none"/>
          <w:lang w:val="en" w:eastAsia="zh-CN"/>
        </w:rPr>
        <w:t>时间：202</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 w:eastAsia="zh-CN"/>
        </w:rPr>
        <w:t>年</w:t>
      </w:r>
      <w:r>
        <w:rPr>
          <w:rFonts w:hint="eastAsia"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lang w:val="en" w:eastAsia="zh-CN"/>
        </w:rPr>
        <w:t>月</w:t>
      </w:r>
      <w:r>
        <w:rPr>
          <w:rFonts w:hint="eastAsia" w:cs="宋体"/>
          <w:color w:val="auto"/>
          <w:kern w:val="0"/>
          <w:sz w:val="22"/>
          <w:szCs w:val="22"/>
          <w:highlight w:val="none"/>
          <w:lang w:val="en-US" w:eastAsia="zh-CN"/>
        </w:rPr>
        <w:t>02</w:t>
      </w:r>
      <w:r>
        <w:rPr>
          <w:rFonts w:hint="eastAsia" w:ascii="宋体" w:hAnsi="宋体" w:eastAsia="宋体" w:cs="宋体"/>
          <w:color w:val="auto"/>
          <w:kern w:val="0"/>
          <w:sz w:val="22"/>
          <w:szCs w:val="22"/>
          <w:highlight w:val="none"/>
          <w:lang w:val="en" w:eastAsia="zh-CN"/>
        </w:rPr>
        <w:t>日09时00分（北京时间）</w:t>
      </w:r>
    </w:p>
    <w:p w14:paraId="52C70A59">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2.地点：加密电子磋商响应文件须在磋商响应文件上传截止时间前通过“河南省公共资源交易中心（</w:t>
      </w:r>
      <w:r>
        <w:rPr>
          <w:rFonts w:hint="eastAsia" w:cs="宋体"/>
          <w:color w:val="auto"/>
          <w:kern w:val="0"/>
          <w:sz w:val="22"/>
          <w:szCs w:val="22"/>
          <w:lang w:val="en" w:eastAsia="zh-CN"/>
        </w:rPr>
        <w:t>http://hnsggzyjy.henan.gov.cn</w:t>
      </w:r>
      <w:r>
        <w:rPr>
          <w:rFonts w:hint="eastAsia" w:ascii="宋体" w:hAnsi="宋体" w:eastAsia="宋体" w:cs="宋体"/>
          <w:color w:val="auto"/>
          <w:kern w:val="0"/>
          <w:sz w:val="22"/>
          <w:szCs w:val="22"/>
          <w:lang w:val="en" w:eastAsia="zh-CN"/>
        </w:rPr>
        <w:t>）”电子交易平台加密上传。</w:t>
      </w:r>
    </w:p>
    <w:p w14:paraId="6684729F">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rPr>
      </w:pPr>
      <w:bookmarkStart w:id="17" w:name="_Toc10991"/>
      <w:r>
        <w:rPr>
          <w:rFonts w:hint="eastAsia" w:ascii="宋体" w:hAnsi="宋体" w:eastAsia="宋体" w:cs="宋体"/>
          <w:b/>
          <w:bCs/>
          <w:color w:val="auto"/>
          <w:kern w:val="0"/>
          <w:sz w:val="22"/>
          <w:szCs w:val="22"/>
        </w:rPr>
        <w:t>五、响应文件开启</w:t>
      </w:r>
      <w:bookmarkEnd w:id="17"/>
    </w:p>
    <w:p w14:paraId="7FA536AE">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bookmarkStart w:id="18" w:name="_Toc12231"/>
      <w:r>
        <w:rPr>
          <w:rFonts w:hint="eastAsia" w:ascii="宋体" w:hAnsi="宋体" w:eastAsia="宋体" w:cs="宋体"/>
          <w:color w:val="auto"/>
          <w:kern w:val="0"/>
          <w:sz w:val="22"/>
          <w:szCs w:val="22"/>
          <w:lang w:val="en" w:eastAsia="zh-CN"/>
        </w:rPr>
        <w:t>1.时</w:t>
      </w:r>
      <w:r>
        <w:rPr>
          <w:rFonts w:hint="eastAsia" w:ascii="宋体" w:hAnsi="宋体" w:eastAsia="宋体" w:cs="宋体"/>
          <w:color w:val="auto"/>
          <w:kern w:val="0"/>
          <w:sz w:val="22"/>
          <w:szCs w:val="22"/>
          <w:highlight w:val="none"/>
          <w:lang w:val="en" w:eastAsia="zh-CN"/>
        </w:rPr>
        <w:t>间：202</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 w:eastAsia="zh-CN"/>
        </w:rPr>
        <w:t>年</w:t>
      </w:r>
      <w:r>
        <w:rPr>
          <w:rFonts w:hint="eastAsia"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lang w:val="en" w:eastAsia="zh-CN"/>
        </w:rPr>
        <w:t>月</w:t>
      </w:r>
      <w:r>
        <w:rPr>
          <w:rFonts w:hint="eastAsia" w:cs="宋体"/>
          <w:color w:val="auto"/>
          <w:kern w:val="0"/>
          <w:sz w:val="22"/>
          <w:szCs w:val="22"/>
          <w:highlight w:val="none"/>
          <w:lang w:val="en-US" w:eastAsia="zh-CN"/>
        </w:rPr>
        <w:t>02</w:t>
      </w:r>
      <w:r>
        <w:rPr>
          <w:rFonts w:hint="eastAsia" w:ascii="宋体" w:hAnsi="宋体" w:eastAsia="宋体" w:cs="宋体"/>
          <w:color w:val="auto"/>
          <w:kern w:val="0"/>
          <w:sz w:val="22"/>
          <w:szCs w:val="22"/>
          <w:highlight w:val="none"/>
          <w:lang w:val="en" w:eastAsia="zh-CN"/>
        </w:rPr>
        <w:t>日09时00分(北京时间)</w:t>
      </w:r>
      <w:bookmarkEnd w:id="18"/>
    </w:p>
    <w:p w14:paraId="74E89B2E">
      <w:pPr>
        <w:keepNext w:val="0"/>
        <w:keepLines w:val="0"/>
        <w:pageBreakBefore w:val="0"/>
        <w:widowControl w:val="0"/>
        <w:kinsoku/>
        <w:wordWrap w:val="0"/>
        <w:overflowPunct/>
        <w:topLinePunct w:val="0"/>
        <w:autoSpaceDE/>
        <w:autoSpaceDN/>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highlight w:val="none"/>
          <w:lang w:val="en" w:eastAsia="zh-CN"/>
        </w:rPr>
        <w:t>2.地点：河南省公共资源交易中心远程开标室(七)-2，</w:t>
      </w:r>
      <w:r>
        <w:rPr>
          <w:rFonts w:hint="eastAsia" w:ascii="宋体" w:hAnsi="宋体" w:eastAsia="宋体" w:cs="宋体"/>
          <w:color w:val="auto"/>
          <w:kern w:val="0"/>
          <w:sz w:val="22"/>
          <w:szCs w:val="22"/>
          <w:lang w:val="en" w:eastAsia="zh-CN"/>
        </w:rPr>
        <w:t>河南省公共资源交易中心现采用“远程不见面”开标方式，供应商须提前进入远程开标大厅进行开标操作和响应文件的解密。</w:t>
      </w:r>
    </w:p>
    <w:p w14:paraId="1DB8F04A">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rPr>
      </w:pPr>
      <w:bookmarkStart w:id="19" w:name="_Toc19164"/>
      <w:r>
        <w:rPr>
          <w:rFonts w:hint="eastAsia" w:ascii="宋体" w:hAnsi="宋体" w:eastAsia="宋体" w:cs="宋体"/>
          <w:b/>
          <w:bCs/>
          <w:color w:val="auto"/>
          <w:kern w:val="0"/>
          <w:sz w:val="22"/>
          <w:szCs w:val="22"/>
        </w:rPr>
        <w:t>六、发布公告的媒介及招标公告期限</w:t>
      </w:r>
      <w:bookmarkEnd w:id="19"/>
    </w:p>
    <w:p w14:paraId="391D6541">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本次招标公告在《河南省政府采购网》</w:t>
      </w:r>
      <w:r>
        <w:rPr>
          <w:rFonts w:hint="eastAsia" w:cs="宋体"/>
          <w:color w:val="auto"/>
          <w:kern w:val="0"/>
          <w:sz w:val="22"/>
          <w:szCs w:val="22"/>
          <w:lang w:val="en" w:eastAsia="zh-CN"/>
        </w:rPr>
        <w:t>、</w:t>
      </w:r>
      <w:r>
        <w:rPr>
          <w:rFonts w:hint="eastAsia" w:ascii="宋体" w:hAnsi="宋体" w:eastAsia="宋体" w:cs="宋体"/>
          <w:color w:val="auto"/>
          <w:kern w:val="0"/>
          <w:sz w:val="22"/>
          <w:szCs w:val="22"/>
          <w:lang w:val="en" w:eastAsia="zh-CN"/>
        </w:rPr>
        <w:t>《河南省公共资源交易中心网》上发布，招标公告期限为三个工作日。</w:t>
      </w:r>
    </w:p>
    <w:p w14:paraId="451193BF">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rPr>
      </w:pPr>
      <w:bookmarkStart w:id="20" w:name="_Toc13170"/>
      <w:r>
        <w:rPr>
          <w:rFonts w:hint="eastAsia" w:ascii="宋体" w:hAnsi="宋体" w:eastAsia="宋体" w:cs="宋体"/>
          <w:b/>
          <w:bCs/>
          <w:color w:val="auto"/>
          <w:kern w:val="0"/>
          <w:sz w:val="22"/>
          <w:szCs w:val="22"/>
        </w:rPr>
        <w:t>七、其他补充事宜</w:t>
      </w:r>
      <w:bookmarkEnd w:id="20"/>
    </w:p>
    <w:p w14:paraId="7C719413">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cs="宋体"/>
          <w:color w:val="auto"/>
          <w:kern w:val="0"/>
          <w:sz w:val="22"/>
          <w:szCs w:val="22"/>
          <w:lang w:val="en-US" w:eastAsia="zh-CN"/>
        </w:rPr>
        <w:t>1.</w:t>
      </w:r>
      <w:r>
        <w:rPr>
          <w:rFonts w:hint="eastAsia" w:ascii="宋体" w:hAnsi="宋体" w:eastAsia="宋体" w:cs="宋体"/>
          <w:color w:val="auto"/>
          <w:kern w:val="0"/>
          <w:sz w:val="22"/>
          <w:szCs w:val="22"/>
          <w:lang w:val="en" w:eastAsia="zh-CN"/>
        </w:rPr>
        <w:t>本项目采用“远程不见面”开标方式，投标人无需参加开标会议；投标人应当在投标截止时间前，登录河南省公共资源交易中心不见面开标大厅，在线准时参加开标活动并在规定时间内进行投标文件解密、答疑澄清（如有）等活动，在规定时间内投标文件未解密的投标人，视为放弃投标。不见面服务的具体事宜请查阅河南省公共资源交易中心网站“办事指南”专区的《新交易平台使用手册》。</w:t>
      </w:r>
    </w:p>
    <w:p w14:paraId="428B9424">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2.本次代理服务费：参照《河南省招标代理服务收费指导意见》豫招协[2023]002号文的计算办法计取，由成交人在领取成交通知书时应向采购代理机构一次性支付。</w:t>
      </w:r>
    </w:p>
    <w:p w14:paraId="7EDF8AEF">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rPr>
      </w:pPr>
      <w:bookmarkStart w:id="21" w:name="_Toc26655"/>
      <w:r>
        <w:rPr>
          <w:rFonts w:hint="eastAsia" w:ascii="宋体" w:hAnsi="宋体" w:eastAsia="宋体" w:cs="宋体"/>
          <w:b/>
          <w:bCs/>
          <w:color w:val="auto"/>
          <w:kern w:val="0"/>
          <w:sz w:val="22"/>
          <w:szCs w:val="22"/>
        </w:rPr>
        <w:t>八、对本次招标提出询问，请按以下方式联系</w:t>
      </w:r>
      <w:bookmarkEnd w:id="21"/>
    </w:p>
    <w:p w14:paraId="5725B498">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bookmarkStart w:id="22" w:name="_Toc27391"/>
      <w:r>
        <w:rPr>
          <w:rFonts w:hint="eastAsia" w:ascii="宋体" w:hAnsi="宋体" w:eastAsia="宋体" w:cs="宋体"/>
          <w:color w:val="auto"/>
          <w:kern w:val="0"/>
          <w:sz w:val="22"/>
          <w:szCs w:val="22"/>
          <w:lang w:val="en" w:eastAsia="zh-CN"/>
        </w:rPr>
        <w:t>1.采购人信息</w:t>
      </w:r>
      <w:bookmarkEnd w:id="22"/>
    </w:p>
    <w:p w14:paraId="2D15721C">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名称：</w:t>
      </w:r>
      <w:r>
        <w:rPr>
          <w:rFonts w:hint="eastAsia" w:cs="宋体"/>
          <w:color w:val="auto"/>
          <w:kern w:val="0"/>
          <w:sz w:val="22"/>
          <w:szCs w:val="22"/>
          <w:lang w:val="en-US" w:eastAsia="zh-CN"/>
        </w:rPr>
        <w:t>河南省开封生态环境监测中心</w:t>
      </w:r>
    </w:p>
    <w:p w14:paraId="57964951">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地址：河南省开封市鼓楼区万善街2号</w:t>
      </w:r>
    </w:p>
    <w:p w14:paraId="360C1A22">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联系人：王先生</w:t>
      </w:r>
    </w:p>
    <w:p w14:paraId="05BA3AD4">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 w:eastAsia="zh-CN"/>
        </w:rPr>
        <w:t>联系方式</w:t>
      </w:r>
      <w:r>
        <w:rPr>
          <w:rFonts w:hint="eastAsia" w:ascii="宋体" w:hAnsi="宋体" w:eastAsia="宋体" w:cs="宋体"/>
          <w:color w:val="auto"/>
          <w:kern w:val="0"/>
          <w:sz w:val="22"/>
          <w:szCs w:val="22"/>
          <w:lang w:val="en-US" w:eastAsia="zh-CN"/>
        </w:rPr>
        <w:t>：0371-23151006</w:t>
      </w:r>
    </w:p>
    <w:p w14:paraId="2671B5A9">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2.采购代理机构信息</w:t>
      </w:r>
    </w:p>
    <w:p w14:paraId="3CAA1E3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名称：中海域安项目管理咨询有限公司</w:t>
      </w:r>
    </w:p>
    <w:p w14:paraId="2B9AED53">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地址：河南省郑州市金水区中州大道1188号置地广场3号楼12层63号</w:t>
      </w:r>
    </w:p>
    <w:p w14:paraId="127CE0A5">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 w:eastAsia="zh-CN"/>
        </w:rPr>
        <w:t>联系人：</w:t>
      </w:r>
      <w:r>
        <w:rPr>
          <w:rFonts w:hint="eastAsia" w:cs="宋体"/>
          <w:color w:val="auto"/>
          <w:kern w:val="0"/>
          <w:sz w:val="22"/>
          <w:szCs w:val="22"/>
          <w:lang w:val="en-US" w:eastAsia="zh-CN"/>
        </w:rPr>
        <w:t>申越</w:t>
      </w:r>
    </w:p>
    <w:p w14:paraId="58278D2C">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联系方式：0371-85512909-80</w:t>
      </w:r>
      <w:r>
        <w:rPr>
          <w:rFonts w:hint="eastAsia" w:cs="宋体"/>
          <w:color w:val="auto"/>
          <w:kern w:val="0"/>
          <w:sz w:val="22"/>
          <w:szCs w:val="22"/>
          <w:lang w:val="en-US" w:eastAsia="zh-CN"/>
        </w:rPr>
        <w:t>5</w:t>
      </w:r>
    </w:p>
    <w:p w14:paraId="2FE3DBFE">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bookmarkStart w:id="23" w:name="_Toc20054"/>
      <w:r>
        <w:rPr>
          <w:rFonts w:hint="eastAsia" w:ascii="宋体" w:hAnsi="宋体" w:eastAsia="宋体" w:cs="宋体"/>
          <w:color w:val="auto"/>
          <w:kern w:val="0"/>
          <w:sz w:val="22"/>
          <w:szCs w:val="22"/>
          <w:lang w:val="en" w:eastAsia="zh-CN"/>
        </w:rPr>
        <w:t>3.项目联系方式</w:t>
      </w:r>
      <w:bookmarkEnd w:id="23"/>
    </w:p>
    <w:p w14:paraId="153B402E">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项目联系人：</w:t>
      </w:r>
      <w:r>
        <w:rPr>
          <w:rFonts w:hint="eastAsia" w:cs="宋体"/>
          <w:color w:val="auto"/>
          <w:kern w:val="0"/>
          <w:sz w:val="22"/>
          <w:szCs w:val="22"/>
          <w:lang w:val="en-US" w:eastAsia="zh-CN"/>
        </w:rPr>
        <w:t>申越</w:t>
      </w:r>
    </w:p>
    <w:p w14:paraId="1B4FA587">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 w:eastAsia="zh-CN"/>
        </w:rPr>
        <w:t>电话：0371-85512909-80</w:t>
      </w:r>
      <w:r>
        <w:rPr>
          <w:rFonts w:hint="eastAsia" w:cs="宋体"/>
          <w:color w:val="auto"/>
          <w:kern w:val="0"/>
          <w:sz w:val="22"/>
          <w:szCs w:val="22"/>
          <w:lang w:val="en-US" w:eastAsia="zh-CN"/>
        </w:rPr>
        <w:t>5</w:t>
      </w:r>
    </w:p>
    <w:p w14:paraId="5DBEAAB4">
      <w:pPr>
        <w:spacing w:line="360" w:lineRule="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br w:type="page"/>
      </w:r>
    </w:p>
    <w:p w14:paraId="7DD22FB7">
      <w:pPr>
        <w:spacing w:before="61" w:line="360" w:lineRule="auto"/>
        <w:ind w:left="503" w:right="425"/>
        <w:jc w:val="center"/>
        <w:outlineLvl w:val="0"/>
        <w:rPr>
          <w:rFonts w:hint="eastAsia" w:ascii="宋体" w:hAnsi="宋体" w:eastAsia="宋体" w:cs="宋体"/>
          <w:b/>
          <w:color w:val="auto"/>
          <w:sz w:val="32"/>
          <w:szCs w:val="32"/>
          <w:highlight w:val="none"/>
          <w:lang w:eastAsia="zh-CN"/>
        </w:rPr>
      </w:pPr>
      <w:bookmarkStart w:id="24" w:name="_Toc14790"/>
      <w:r>
        <w:rPr>
          <w:rFonts w:hint="eastAsia" w:ascii="宋体" w:hAnsi="宋体" w:eastAsia="宋体" w:cs="宋体"/>
          <w:b/>
          <w:color w:val="auto"/>
          <w:sz w:val="32"/>
          <w:szCs w:val="32"/>
          <w:highlight w:val="none"/>
          <w:lang w:eastAsia="zh-CN"/>
        </w:rPr>
        <w:t>第二章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供应商须知</w:t>
      </w:r>
      <w:bookmarkEnd w:id="24"/>
    </w:p>
    <w:p w14:paraId="0CF9C425">
      <w:pPr>
        <w:pStyle w:val="3"/>
        <w:spacing w:before="186" w:line="360" w:lineRule="auto"/>
        <w:ind w:left="510" w:right="425"/>
        <w:outlineLvl w:val="1"/>
        <w:rPr>
          <w:rFonts w:hint="eastAsia" w:ascii="宋体" w:hAnsi="宋体" w:eastAsia="宋体" w:cs="宋体"/>
          <w:b/>
          <w:bCs/>
          <w:color w:val="auto"/>
          <w:sz w:val="28"/>
          <w:szCs w:val="28"/>
          <w:highlight w:val="none"/>
          <w:lang w:eastAsia="zh-CN"/>
        </w:rPr>
      </w:pPr>
      <w:bookmarkStart w:id="25" w:name="供应商须知前附表"/>
      <w:bookmarkEnd w:id="25"/>
      <w:bookmarkStart w:id="26" w:name="_Toc15741"/>
      <w:bookmarkStart w:id="27" w:name="_Toc30401"/>
      <w:r>
        <w:rPr>
          <w:rFonts w:hint="eastAsia" w:ascii="宋体" w:hAnsi="宋体" w:eastAsia="宋体" w:cs="宋体"/>
          <w:b/>
          <w:bCs/>
          <w:color w:val="auto"/>
          <w:sz w:val="28"/>
          <w:szCs w:val="28"/>
          <w:highlight w:val="none"/>
          <w:lang w:eastAsia="zh-CN"/>
        </w:rPr>
        <w:t>供应商须知前附表</w:t>
      </w:r>
      <w:bookmarkEnd w:id="26"/>
      <w:bookmarkEnd w:id="27"/>
    </w:p>
    <w:tbl>
      <w:tblPr>
        <w:tblStyle w:val="32"/>
        <w:tblW w:w="9971" w:type="dxa"/>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
        <w:gridCol w:w="1732"/>
        <w:gridCol w:w="7380"/>
      </w:tblGrid>
      <w:tr w14:paraId="2BF6D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859" w:type="dxa"/>
            <w:vAlign w:val="center"/>
          </w:tcPr>
          <w:p w14:paraId="72D0FC23">
            <w:pPr>
              <w:pStyle w:val="57"/>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1732" w:type="dxa"/>
            <w:vAlign w:val="center"/>
          </w:tcPr>
          <w:p w14:paraId="6B433736">
            <w:pPr>
              <w:pStyle w:val="57"/>
              <w:tabs>
                <w:tab w:val="left" w:pos="744"/>
              </w:tabs>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tc>
        <w:tc>
          <w:tcPr>
            <w:tcW w:w="7380" w:type="dxa"/>
            <w:vAlign w:val="center"/>
          </w:tcPr>
          <w:p w14:paraId="081A71A8">
            <w:pPr>
              <w:pStyle w:val="57"/>
              <w:tabs>
                <w:tab w:val="left" w:pos="1489"/>
              </w:tabs>
              <w:spacing w:line="360" w:lineRule="auto"/>
              <w:ind w:left="110" w:leftChars="5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内容</w:t>
            </w:r>
          </w:p>
        </w:tc>
      </w:tr>
      <w:tr w14:paraId="47365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859" w:type="dxa"/>
            <w:vAlign w:val="center"/>
          </w:tcPr>
          <w:p w14:paraId="140DA125">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p>
        </w:tc>
        <w:tc>
          <w:tcPr>
            <w:tcW w:w="1732" w:type="dxa"/>
            <w:vAlign w:val="center"/>
          </w:tcPr>
          <w:p w14:paraId="316AB917">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采购人</w:t>
            </w:r>
          </w:p>
        </w:tc>
        <w:tc>
          <w:tcPr>
            <w:tcW w:w="7380" w:type="dxa"/>
            <w:vAlign w:val="center"/>
          </w:tcPr>
          <w:p w14:paraId="4BF20108">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名称：</w:t>
            </w:r>
            <w:r>
              <w:rPr>
                <w:rFonts w:hint="eastAsia" w:cs="宋体"/>
                <w:color w:val="auto"/>
                <w:kern w:val="0"/>
                <w:sz w:val="22"/>
                <w:szCs w:val="22"/>
                <w:lang w:val="en-US" w:eastAsia="zh-CN"/>
              </w:rPr>
              <w:t>河南省开封生态环境监测中心</w:t>
            </w:r>
          </w:p>
          <w:p w14:paraId="08117D69">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地址：河南省开封市鼓楼区万善街2号</w:t>
            </w:r>
          </w:p>
          <w:p w14:paraId="77ADAE56">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联系人：王先生</w:t>
            </w:r>
          </w:p>
          <w:p w14:paraId="5BE6F24D">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lang w:val="en" w:eastAsia="zh-CN"/>
              </w:rPr>
              <w:t>联系方式</w:t>
            </w:r>
            <w:r>
              <w:rPr>
                <w:rFonts w:hint="eastAsia" w:ascii="宋体" w:hAnsi="宋体" w:eastAsia="宋体" w:cs="宋体"/>
                <w:color w:val="auto"/>
                <w:kern w:val="0"/>
                <w:sz w:val="22"/>
                <w:szCs w:val="22"/>
                <w:lang w:val="en-US" w:eastAsia="zh-CN"/>
              </w:rPr>
              <w:t>：0371-23151006</w:t>
            </w:r>
          </w:p>
        </w:tc>
      </w:tr>
      <w:tr w14:paraId="3591F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859" w:type="dxa"/>
            <w:vAlign w:val="center"/>
          </w:tcPr>
          <w:p w14:paraId="278EA161">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w:t>
            </w:r>
          </w:p>
        </w:tc>
        <w:tc>
          <w:tcPr>
            <w:tcW w:w="1732" w:type="dxa"/>
            <w:vAlign w:val="center"/>
          </w:tcPr>
          <w:p w14:paraId="0AC50C8E">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采购代理机构</w:t>
            </w:r>
          </w:p>
        </w:tc>
        <w:tc>
          <w:tcPr>
            <w:tcW w:w="7380" w:type="dxa"/>
            <w:vAlign w:val="center"/>
          </w:tcPr>
          <w:p w14:paraId="471D153A">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名称：中海域安项目管理咨询有限公司</w:t>
            </w:r>
          </w:p>
          <w:p w14:paraId="622250A4">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地址：河南省郑州市金水区中州大道1188号置地广场3号楼12层63号</w:t>
            </w:r>
          </w:p>
          <w:p w14:paraId="3310C39F">
            <w:pPr>
              <w:keepNext w:val="0"/>
              <w:keepLines w:val="0"/>
              <w:pageBreakBefore w:val="0"/>
              <w:kinsoku/>
              <w:wordWrap w:val="0"/>
              <w:overflowPunct/>
              <w:topLinePunct w:val="0"/>
              <w:bidi w:val="0"/>
              <w:adjustRightInd w:val="0"/>
              <w:snapToGrid w:val="0"/>
              <w:spacing w:line="360" w:lineRule="auto"/>
              <w:textAlignment w:val="baseline"/>
              <w:outlineLvl w:val="9"/>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 w:eastAsia="zh-CN"/>
              </w:rPr>
              <w:t>联系人：</w:t>
            </w:r>
            <w:r>
              <w:rPr>
                <w:rFonts w:hint="eastAsia" w:cs="宋体"/>
                <w:color w:val="auto"/>
                <w:kern w:val="0"/>
                <w:sz w:val="22"/>
                <w:szCs w:val="22"/>
                <w:lang w:val="en-US" w:eastAsia="zh-CN"/>
              </w:rPr>
              <w:t>申越</w:t>
            </w:r>
          </w:p>
          <w:p w14:paraId="5F1193A1">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lang w:val="en" w:eastAsia="zh-CN"/>
              </w:rPr>
              <w:t>联系方式：0371-85512909-80</w:t>
            </w:r>
            <w:r>
              <w:rPr>
                <w:rFonts w:hint="eastAsia" w:cs="宋体"/>
                <w:color w:val="auto"/>
                <w:kern w:val="0"/>
                <w:sz w:val="22"/>
                <w:szCs w:val="22"/>
                <w:lang w:val="en-US" w:eastAsia="zh-CN"/>
              </w:rPr>
              <w:t>5</w:t>
            </w:r>
          </w:p>
        </w:tc>
      </w:tr>
      <w:tr w14:paraId="484C5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9" w:type="dxa"/>
            <w:vAlign w:val="center"/>
          </w:tcPr>
          <w:p w14:paraId="4145116F">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w:t>
            </w:r>
          </w:p>
        </w:tc>
        <w:tc>
          <w:tcPr>
            <w:tcW w:w="1732" w:type="dxa"/>
            <w:vAlign w:val="center"/>
          </w:tcPr>
          <w:p w14:paraId="34A29116">
            <w:pPr>
              <w:pStyle w:val="57"/>
              <w:spacing w:line="360" w:lineRule="auto"/>
              <w:ind w:left="110" w:leftChars="5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项目名称及项目所属行业</w:t>
            </w:r>
          </w:p>
        </w:tc>
        <w:tc>
          <w:tcPr>
            <w:tcW w:w="7380" w:type="dxa"/>
            <w:vAlign w:val="center"/>
          </w:tcPr>
          <w:p w14:paraId="5410F772">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项目名称：</w:t>
            </w:r>
            <w:r>
              <w:rPr>
                <w:rFonts w:hint="eastAsia" w:cs="宋体"/>
                <w:color w:val="auto"/>
                <w:sz w:val="22"/>
                <w:szCs w:val="22"/>
                <w:highlight w:val="none"/>
                <w:lang w:val="en-US" w:eastAsia="zh-CN" w:bidi="ar-SA"/>
              </w:rPr>
              <w:t>河南省开封生态环境监测中心实验用房水电改造项目</w:t>
            </w:r>
          </w:p>
          <w:p w14:paraId="202F74EB">
            <w:pPr>
              <w:pStyle w:val="57"/>
              <w:spacing w:line="360" w:lineRule="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项目所属行业：</w:t>
            </w:r>
            <w:r>
              <w:rPr>
                <w:rFonts w:hint="eastAsia" w:cs="宋体"/>
                <w:color w:val="auto"/>
                <w:sz w:val="22"/>
                <w:szCs w:val="22"/>
                <w:highlight w:val="none"/>
                <w:lang w:val="en-US" w:eastAsia="zh-CN"/>
              </w:rPr>
              <w:t>租赁和商务服务业</w:t>
            </w:r>
          </w:p>
        </w:tc>
      </w:tr>
      <w:tr w14:paraId="19062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59" w:type="dxa"/>
            <w:vAlign w:val="center"/>
          </w:tcPr>
          <w:p w14:paraId="449F7150">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w:t>
            </w:r>
          </w:p>
        </w:tc>
        <w:tc>
          <w:tcPr>
            <w:tcW w:w="1732" w:type="dxa"/>
            <w:vAlign w:val="center"/>
          </w:tcPr>
          <w:p w14:paraId="20E8B171">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项目地点</w:t>
            </w:r>
          </w:p>
        </w:tc>
        <w:tc>
          <w:tcPr>
            <w:tcW w:w="7380" w:type="dxa"/>
            <w:vAlign w:val="center"/>
          </w:tcPr>
          <w:p w14:paraId="425BAE4F">
            <w:pPr>
              <w:pStyle w:val="57"/>
              <w:spacing w:line="360" w:lineRule="auto"/>
              <w:ind w:left="110"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河南省开封市</w:t>
            </w:r>
          </w:p>
        </w:tc>
      </w:tr>
      <w:tr w14:paraId="5EC34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59" w:type="dxa"/>
            <w:vAlign w:val="center"/>
          </w:tcPr>
          <w:p w14:paraId="3497E938">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w:t>
            </w:r>
          </w:p>
        </w:tc>
        <w:tc>
          <w:tcPr>
            <w:tcW w:w="1732" w:type="dxa"/>
            <w:vAlign w:val="center"/>
          </w:tcPr>
          <w:p w14:paraId="03C9116B">
            <w:pPr>
              <w:pStyle w:val="57"/>
              <w:spacing w:line="360" w:lineRule="auto"/>
              <w:ind w:left="110" w:leftChars="5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资金来源</w:t>
            </w:r>
          </w:p>
        </w:tc>
        <w:tc>
          <w:tcPr>
            <w:tcW w:w="7380" w:type="dxa"/>
            <w:vAlign w:val="center"/>
          </w:tcPr>
          <w:p w14:paraId="315202A4">
            <w:pPr>
              <w:pStyle w:val="57"/>
              <w:spacing w:line="360" w:lineRule="auto"/>
              <w:ind w:left="110" w:leftChars="50"/>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财政资金</w:t>
            </w:r>
          </w:p>
        </w:tc>
      </w:tr>
      <w:tr w14:paraId="794B3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9" w:type="dxa"/>
            <w:vAlign w:val="center"/>
          </w:tcPr>
          <w:p w14:paraId="4F227FD6">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w:t>
            </w:r>
          </w:p>
        </w:tc>
        <w:tc>
          <w:tcPr>
            <w:tcW w:w="1732" w:type="dxa"/>
            <w:vAlign w:val="center"/>
          </w:tcPr>
          <w:p w14:paraId="123334BB">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预算金额</w:t>
            </w:r>
          </w:p>
          <w:p w14:paraId="6A0259C0">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（最高限价）</w:t>
            </w:r>
          </w:p>
        </w:tc>
        <w:tc>
          <w:tcPr>
            <w:tcW w:w="7380" w:type="dxa"/>
            <w:vAlign w:val="center"/>
          </w:tcPr>
          <w:p w14:paraId="5F004605">
            <w:pPr>
              <w:pStyle w:val="57"/>
              <w:spacing w:line="360" w:lineRule="auto"/>
              <w:ind w:left="110" w:leftChars="50"/>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1902000.00</w:t>
            </w:r>
            <w:r>
              <w:rPr>
                <w:rFonts w:hint="eastAsia" w:ascii="宋体" w:hAnsi="宋体" w:eastAsia="宋体" w:cs="宋体"/>
                <w:color w:val="auto"/>
                <w:sz w:val="22"/>
                <w:szCs w:val="22"/>
                <w:highlight w:val="none"/>
                <w:lang w:eastAsia="zh-CN"/>
              </w:rPr>
              <w:t>元</w:t>
            </w:r>
            <w:r>
              <w:rPr>
                <w:rFonts w:hint="eastAsia" w:cs="宋体"/>
                <w:color w:val="auto"/>
                <w:sz w:val="22"/>
                <w:szCs w:val="22"/>
                <w:highlight w:val="none"/>
                <w:lang w:eastAsia="zh-CN"/>
              </w:rPr>
              <w:t>，</w:t>
            </w:r>
            <w:r>
              <w:rPr>
                <w:rFonts w:hint="eastAsia" w:cs="宋体"/>
                <w:color w:val="auto"/>
                <w:sz w:val="22"/>
                <w:szCs w:val="22"/>
                <w:highlight w:val="none"/>
                <w:lang w:val="en-US" w:eastAsia="zh-CN"/>
              </w:rPr>
              <w:t>其中包1：1873470.00元；包2：28530.00元。</w:t>
            </w:r>
          </w:p>
        </w:tc>
      </w:tr>
      <w:tr w14:paraId="21B5C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859" w:type="dxa"/>
            <w:vAlign w:val="center"/>
          </w:tcPr>
          <w:p w14:paraId="10B11D06">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w:t>
            </w:r>
          </w:p>
        </w:tc>
        <w:tc>
          <w:tcPr>
            <w:tcW w:w="1732" w:type="dxa"/>
            <w:vAlign w:val="center"/>
          </w:tcPr>
          <w:p w14:paraId="4D3517B8">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lang w:val="en-US" w:eastAsia="zh-CN"/>
              </w:rPr>
              <w:t>内容</w:t>
            </w:r>
            <w:r>
              <w:rPr>
                <w:rFonts w:hint="eastAsia" w:ascii="宋体" w:hAnsi="宋体" w:eastAsia="宋体" w:cs="宋体"/>
                <w:color w:val="auto"/>
                <w:sz w:val="22"/>
                <w:szCs w:val="22"/>
                <w:highlight w:val="none"/>
                <w:lang w:eastAsia="zh-CN"/>
              </w:rPr>
              <w:t>及分包情况</w:t>
            </w:r>
          </w:p>
        </w:tc>
        <w:tc>
          <w:tcPr>
            <w:tcW w:w="7380" w:type="dxa"/>
            <w:vAlign w:val="center"/>
          </w:tcPr>
          <w:p w14:paraId="02E3FE74">
            <w:pPr>
              <w:pStyle w:val="57"/>
              <w:keepNext w:val="0"/>
              <w:keepLines w:val="0"/>
              <w:pageBreakBefore w:val="0"/>
              <w:widowControl w:val="0"/>
              <w:kinsoku/>
              <w:wordWrap/>
              <w:overflowPunct/>
              <w:topLinePunct w:val="0"/>
              <w:autoSpaceDE w:val="0"/>
              <w:autoSpaceDN w:val="0"/>
              <w:bidi w:val="0"/>
              <w:adjustRightInd/>
              <w:snapToGrid/>
              <w:spacing w:line="360" w:lineRule="auto"/>
              <w:ind w:left="110" w:leftChars="5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采购内容：</w:t>
            </w:r>
            <w:r>
              <w:rPr>
                <w:rFonts w:hint="eastAsia" w:ascii="宋体" w:hAnsi="宋体" w:eastAsia="宋体" w:cs="宋体"/>
                <w:color w:val="000000" w:themeColor="text1"/>
                <w:sz w:val="22"/>
                <w:szCs w:val="22"/>
                <w:highlight w:val="none"/>
                <w:lang w:val="en-US" w:eastAsia="zh-CN"/>
                <w14:textFill>
                  <w14:solidFill>
                    <w14:schemeClr w14:val="tx1"/>
                  </w14:solidFill>
                </w14:textFill>
              </w:rPr>
              <w:t>包1：磋商文件</w:t>
            </w:r>
            <w:r>
              <w:rPr>
                <w:rFonts w:hint="eastAsia" w:ascii="宋体" w:hAnsi="宋体" w:eastAsia="宋体" w:cs="宋体"/>
                <w:color w:val="000000" w:themeColor="text1"/>
                <w:sz w:val="22"/>
                <w:szCs w:val="22"/>
                <w:highlight w:val="none"/>
                <w:lang w:eastAsia="zh-CN"/>
                <w14:textFill>
                  <w14:solidFill>
                    <w14:schemeClr w14:val="tx1"/>
                  </w14:solidFill>
                </w14:textFill>
              </w:rPr>
              <w:t>、工程量清单及施工图纸范围内的全部内容；</w:t>
            </w:r>
            <w:r>
              <w:rPr>
                <w:rFonts w:hint="eastAsia" w:ascii="宋体" w:hAnsi="宋体" w:eastAsia="宋体" w:cs="宋体"/>
                <w:color w:val="000000" w:themeColor="text1"/>
                <w:sz w:val="22"/>
                <w:szCs w:val="22"/>
                <w:highlight w:val="none"/>
                <w:lang w:val="en-US" w:eastAsia="zh-CN"/>
                <w14:textFill>
                  <w14:solidFill>
                    <w14:schemeClr w14:val="tx1"/>
                  </w14:solidFill>
                </w14:textFill>
              </w:rPr>
              <w:t>包2：施工阶段及缺陷责任期全过程监理工作</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70F5F776">
            <w:pPr>
              <w:pStyle w:val="57"/>
              <w:keepNext w:val="0"/>
              <w:keepLines w:val="0"/>
              <w:pageBreakBefore w:val="0"/>
              <w:widowControl w:val="0"/>
              <w:kinsoku/>
              <w:wordWrap/>
              <w:overflowPunct/>
              <w:topLinePunct w:val="0"/>
              <w:autoSpaceDE w:val="0"/>
              <w:autoSpaceDN w:val="0"/>
              <w:bidi w:val="0"/>
              <w:adjustRightInd/>
              <w:snapToGrid/>
              <w:spacing w:line="360" w:lineRule="auto"/>
              <w:ind w:left="110" w:leftChars="5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分包情况：本项目共</w:t>
            </w:r>
            <w:r>
              <w:rPr>
                <w:rFonts w:hint="eastAsia"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个包</w:t>
            </w:r>
            <w:r>
              <w:rPr>
                <w:rFonts w:hint="eastAsia" w:cs="宋体"/>
                <w:color w:val="auto"/>
                <w:sz w:val="22"/>
                <w:szCs w:val="22"/>
                <w:highlight w:val="none"/>
                <w:lang w:eastAsia="zh-CN"/>
              </w:rPr>
              <w:t>，</w:t>
            </w:r>
            <w:r>
              <w:rPr>
                <w:rFonts w:hint="eastAsia" w:cs="宋体"/>
                <w:color w:val="auto"/>
                <w:sz w:val="22"/>
                <w:szCs w:val="22"/>
                <w:highlight w:val="none"/>
                <w:lang w:val="en-US" w:eastAsia="zh-CN"/>
              </w:rPr>
              <w:t>其中包1为施工；包2为监理。</w:t>
            </w:r>
          </w:p>
        </w:tc>
      </w:tr>
      <w:tr w14:paraId="76911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59" w:type="dxa"/>
            <w:vAlign w:val="center"/>
          </w:tcPr>
          <w:p w14:paraId="16A5E3E8">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p>
        </w:tc>
        <w:tc>
          <w:tcPr>
            <w:tcW w:w="1732" w:type="dxa"/>
            <w:vAlign w:val="center"/>
          </w:tcPr>
          <w:p w14:paraId="77265DE5">
            <w:pPr>
              <w:pStyle w:val="57"/>
              <w:spacing w:line="360" w:lineRule="auto"/>
              <w:jc w:val="center"/>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监理服务期</w:t>
            </w:r>
          </w:p>
        </w:tc>
        <w:tc>
          <w:tcPr>
            <w:tcW w:w="7380" w:type="dxa"/>
            <w:vAlign w:val="center"/>
          </w:tcPr>
          <w:p w14:paraId="3D4EDBAF">
            <w:pPr>
              <w:pStyle w:val="57"/>
              <w:keepNext w:val="0"/>
              <w:keepLines w:val="0"/>
              <w:pageBreakBefore w:val="0"/>
              <w:widowControl w:val="0"/>
              <w:kinsoku/>
              <w:wordWrap/>
              <w:overflowPunct/>
              <w:topLinePunct w:val="0"/>
              <w:autoSpaceDE w:val="0"/>
              <w:autoSpaceDN w:val="0"/>
              <w:bidi w:val="0"/>
              <w:adjustRightInd/>
              <w:snapToGrid/>
              <w:spacing w:line="360" w:lineRule="auto"/>
              <w:ind w:left="110" w:leftChars="5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同施工合同工期及保修期</w:t>
            </w:r>
          </w:p>
        </w:tc>
      </w:tr>
      <w:tr w14:paraId="3DE9F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9" w:type="dxa"/>
            <w:vAlign w:val="center"/>
          </w:tcPr>
          <w:p w14:paraId="18D04115">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w:t>
            </w:r>
          </w:p>
        </w:tc>
        <w:tc>
          <w:tcPr>
            <w:tcW w:w="1732" w:type="dxa"/>
            <w:vAlign w:val="center"/>
          </w:tcPr>
          <w:p w14:paraId="48271B87">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质量要求</w:t>
            </w:r>
          </w:p>
        </w:tc>
        <w:tc>
          <w:tcPr>
            <w:tcW w:w="7380" w:type="dxa"/>
            <w:vAlign w:val="center"/>
          </w:tcPr>
          <w:p w14:paraId="7589E65C">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b w:val="0"/>
                <w:bCs/>
                <w:color w:val="auto"/>
                <w:kern w:val="0"/>
                <w:szCs w:val="21"/>
              </w:rPr>
              <w:t>达到国家质量验收规范合格标准</w:t>
            </w:r>
          </w:p>
        </w:tc>
      </w:tr>
      <w:tr w14:paraId="07AA7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13F9C0B3">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1.4.1</w:t>
            </w:r>
          </w:p>
        </w:tc>
        <w:tc>
          <w:tcPr>
            <w:tcW w:w="1732" w:type="dxa"/>
            <w:vAlign w:val="center"/>
          </w:tcPr>
          <w:p w14:paraId="72FAE3B1">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p>
          <w:p w14:paraId="7BA8853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380" w:type="dxa"/>
            <w:vAlign w:val="center"/>
          </w:tcPr>
          <w:p w14:paraId="3B29BC8B">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满足《中华人民共和国政府采购法》第二十二条规定；</w:t>
            </w:r>
          </w:p>
          <w:p w14:paraId="3BBA0D4D">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（1）具有独立承担民事责任的能力；具有有效的营业执照或其他证明材料。</w:t>
            </w:r>
          </w:p>
          <w:p w14:paraId="65C16EDE">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（2）具有良好的商业信誉和健全的财务会计制度；提供202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年度财务审计报告，若企业成立不足一年，提供本开户行银行出具的资信证明。</w:t>
            </w:r>
          </w:p>
          <w:p w14:paraId="03341CCE">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（3）具有履行合同所必需的设备和专业技术能力；提供可充分满足履行合同所需设备和专业技术能力的证明材料或承诺书。</w:t>
            </w:r>
          </w:p>
          <w:p w14:paraId="1697EF40">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）有依法缴纳税收和社会保障资金的良好记录；提供202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月1日以来任意1个月缴纳税收凭据和</w:t>
            </w:r>
            <w:r>
              <w:rPr>
                <w:rFonts w:hint="eastAsia" w:ascii="宋体" w:hAnsi="宋体" w:eastAsia="宋体" w:cs="宋体"/>
                <w:color w:val="auto"/>
                <w:sz w:val="22"/>
                <w:szCs w:val="22"/>
                <w:highlight w:val="none"/>
                <w:lang w:val="zh-CN" w:eastAsia="zh-CN"/>
              </w:rPr>
              <w:t>缴纳社会保险的专用收据或社会保险缴费清单（</w:t>
            </w:r>
            <w:r>
              <w:rPr>
                <w:rFonts w:hint="eastAsia" w:ascii="宋体" w:hAnsi="宋体" w:eastAsia="宋体" w:cs="宋体"/>
                <w:color w:val="auto"/>
                <w:sz w:val="22"/>
                <w:szCs w:val="22"/>
                <w:highlight w:val="none"/>
                <w:lang w:eastAsia="zh-CN"/>
              </w:rPr>
              <w:t>依法免税或不需要缴纳社会保障资金的供应商，应提供相应文件证明其依法免税或不需要缴纳社会保障资金。）</w:t>
            </w:r>
          </w:p>
          <w:p w14:paraId="2E56F6CB">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）参加采购活动前三年内，在经营活动中没有重大违法记录；提供有效的参加采购活动前3年内在经营活动中没有重大违法记录的书面声明。</w:t>
            </w:r>
          </w:p>
          <w:p w14:paraId="513EB7FD">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本项目的特定资格要求：</w:t>
            </w:r>
          </w:p>
          <w:p w14:paraId="7A90B78B">
            <w:pPr>
              <w:keepNext w:val="0"/>
              <w:keepLines w:val="0"/>
              <w:pageBreakBefore w:val="0"/>
              <w:kinsoku/>
              <w:wordWrap w:val="0"/>
              <w:overflowPunct/>
              <w:topLinePunct w:val="0"/>
              <w:bidi w:val="0"/>
              <w:adjustRightInd w:val="0"/>
              <w:snapToGrid w:val="0"/>
              <w:spacing w:line="360" w:lineRule="auto"/>
              <w:textAlignment w:val="baseline"/>
              <w:outlineLvl w:val="9"/>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（1）资质要求：供应商须具有建设行政主管部门颁发的房屋建筑工程监理丙级（含）以上资质或工程监理综合资质；</w:t>
            </w:r>
          </w:p>
          <w:p w14:paraId="02CCE3AB">
            <w:pPr>
              <w:keepNext w:val="0"/>
              <w:keepLines w:val="0"/>
              <w:pageBreakBefore w:val="0"/>
              <w:kinsoku/>
              <w:wordWrap w:val="0"/>
              <w:overflowPunct/>
              <w:topLinePunct w:val="0"/>
              <w:bidi w:val="0"/>
              <w:adjustRightInd w:val="0"/>
              <w:snapToGrid w:val="0"/>
              <w:spacing w:line="360" w:lineRule="auto"/>
              <w:textAlignment w:val="baseline"/>
              <w:outlineLvl w:val="9"/>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（2）拟派总监理工程师须本单位注册的房屋建筑工程专业国家注册监理工程师，持有合法有效的注册证书，提供劳动合同及2024年1月份（含）以来任意一个月的社会保险缴纳证明材料；</w:t>
            </w:r>
          </w:p>
          <w:p w14:paraId="29817581">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zh-CN" w:eastAsia="zh-CN"/>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zh-CN" w:eastAsia="zh-CN"/>
              </w:rPr>
              <w:t>）</w:t>
            </w:r>
            <w:r>
              <w:rPr>
                <w:rFonts w:hint="eastAsia" w:ascii="宋体" w:hAnsi="宋体" w:eastAsia="宋体" w:cs="宋体"/>
                <w:color w:val="auto"/>
                <w:kern w:val="0"/>
                <w:sz w:val="22"/>
                <w:szCs w:val="22"/>
                <w:highlight w:val="none"/>
                <w:lang w:val="en" w:eastAsia="zh-CN"/>
              </w:rPr>
              <w:t>根据《关于在政府采购活动中查询及使用信用记录有关问题的通知》(财库[2016]125号)的规定，对列入失信被执行人（查询渠道：中国执行信息公开网）、重大税收违法失信主体（查询渠道：信用中国）、政府采购严重违法失信行为记录名单（查询渠道：中国政府采购网）拒绝参与本项目政府采购活动，（注：代理机构在开标结束后对所有供应商信用记录进行查询，记录以代理机构开标登录网站查询结果为准，并将查询结果截图打印存档，若查询到供应商有相关负面信息的，则该供应商为无效供应商）；</w:t>
            </w:r>
          </w:p>
          <w:p w14:paraId="0D3C73BB">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sz w:val="22"/>
                <w:szCs w:val="22"/>
                <w:highlight w:val="none"/>
                <w:lang w:val="zh-CN" w:eastAsia="zh-CN"/>
              </w:rPr>
            </w:pPr>
            <w:r>
              <w:rPr>
                <w:rFonts w:hint="eastAsia" w:ascii="宋体" w:hAnsi="宋体" w:eastAsia="宋体" w:cs="宋体"/>
                <w:color w:val="auto"/>
                <w:kern w:val="0"/>
                <w:sz w:val="22"/>
                <w:szCs w:val="22"/>
                <w:highlight w:val="none"/>
                <w:lang w:val="en" w:eastAsia="zh-CN"/>
              </w:rPr>
              <w:t>（</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 w:eastAsia="zh-CN"/>
              </w:rPr>
              <w:t>）</w:t>
            </w:r>
            <w:r>
              <w:rPr>
                <w:rFonts w:hint="eastAsia" w:ascii="宋体" w:hAnsi="宋体" w:eastAsia="宋体" w:cs="宋体"/>
                <w:color w:val="auto"/>
                <w:kern w:val="0"/>
                <w:sz w:val="22"/>
                <w:szCs w:val="22"/>
                <w:highlight w:val="none"/>
                <w:lang w:val="en-US" w:eastAsia="zh-CN"/>
              </w:rPr>
              <w:t>单位负责人为同一人或者存在直接控股、管理关系的不同供应商，不得参加同一合同项下的政府采购活动。提供在“国家企业信用信息公示系统”中查询的相关材料（需包含公司基础信息、股东信息及股权变更信息）或承诺书。</w:t>
            </w:r>
          </w:p>
        </w:tc>
      </w:tr>
      <w:tr w14:paraId="3CBF7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0662C588">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1.10</w:t>
            </w:r>
          </w:p>
        </w:tc>
        <w:tc>
          <w:tcPr>
            <w:tcW w:w="1732" w:type="dxa"/>
            <w:vAlign w:val="center"/>
          </w:tcPr>
          <w:p w14:paraId="001D813B">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踏勘现场</w:t>
            </w:r>
          </w:p>
        </w:tc>
        <w:tc>
          <w:tcPr>
            <w:tcW w:w="7380" w:type="dxa"/>
            <w:vAlign w:val="center"/>
          </w:tcPr>
          <w:p w14:paraId="4990FDB3">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不组织</w:t>
            </w:r>
          </w:p>
        </w:tc>
      </w:tr>
      <w:tr w14:paraId="20E5B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0F6CFE04">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1.11</w:t>
            </w:r>
          </w:p>
        </w:tc>
        <w:tc>
          <w:tcPr>
            <w:tcW w:w="1732" w:type="dxa"/>
            <w:vAlign w:val="center"/>
          </w:tcPr>
          <w:p w14:paraId="1AD84341">
            <w:pPr>
              <w:pStyle w:val="57"/>
              <w:spacing w:line="360" w:lineRule="auto"/>
              <w:jc w:val="center"/>
              <w:rPr>
                <w:rFonts w:hint="eastAsia" w:ascii="宋体" w:hAnsi="宋体" w:eastAsia="宋体" w:cs="宋体"/>
                <w:color w:val="auto"/>
                <w:w w:val="99"/>
                <w:sz w:val="22"/>
                <w:szCs w:val="22"/>
                <w:highlight w:val="none"/>
              </w:rPr>
            </w:pPr>
            <w:r>
              <w:rPr>
                <w:rFonts w:hint="eastAsia" w:ascii="宋体" w:hAnsi="宋体" w:eastAsia="宋体" w:cs="宋体"/>
                <w:color w:val="auto"/>
                <w:sz w:val="22"/>
                <w:szCs w:val="22"/>
                <w:highlight w:val="none"/>
              </w:rPr>
              <w:t>分包</w:t>
            </w:r>
          </w:p>
        </w:tc>
        <w:tc>
          <w:tcPr>
            <w:tcW w:w="7380" w:type="dxa"/>
            <w:vAlign w:val="center"/>
          </w:tcPr>
          <w:p w14:paraId="05292436">
            <w:pPr>
              <w:pStyle w:val="57"/>
              <w:spacing w:line="360" w:lineRule="auto"/>
              <w:ind w:left="110" w:leftChars="50"/>
              <w:rPr>
                <w:rFonts w:hint="eastAsia" w:ascii="宋体" w:hAnsi="宋体" w:eastAsia="宋体" w:cs="宋体"/>
                <w:color w:val="auto"/>
                <w:w w:val="99"/>
                <w:sz w:val="22"/>
                <w:szCs w:val="22"/>
                <w:highlight w:val="none"/>
              </w:rPr>
            </w:pPr>
            <w:r>
              <w:rPr>
                <w:rFonts w:hint="eastAsia" w:ascii="宋体" w:hAnsi="宋体" w:eastAsia="宋体" w:cs="宋体"/>
                <w:color w:val="auto"/>
                <w:sz w:val="22"/>
                <w:szCs w:val="22"/>
                <w:highlight w:val="none"/>
              </w:rPr>
              <w:t>不允许</w:t>
            </w:r>
          </w:p>
        </w:tc>
      </w:tr>
      <w:tr w14:paraId="3F766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shd w:val="clear" w:color="auto" w:fill="auto"/>
            <w:vAlign w:val="center"/>
          </w:tcPr>
          <w:p w14:paraId="3B4F9BC7">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2</w:t>
            </w:r>
          </w:p>
        </w:tc>
        <w:tc>
          <w:tcPr>
            <w:tcW w:w="1732" w:type="dxa"/>
            <w:shd w:val="clear" w:color="auto" w:fill="auto"/>
            <w:vAlign w:val="center"/>
          </w:tcPr>
          <w:p w14:paraId="24467DD0">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技术参数偏离</w:t>
            </w:r>
          </w:p>
        </w:tc>
        <w:tc>
          <w:tcPr>
            <w:tcW w:w="7380" w:type="dxa"/>
            <w:shd w:val="clear" w:color="auto" w:fill="auto"/>
            <w:vAlign w:val="center"/>
          </w:tcPr>
          <w:p w14:paraId="1284E16F">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不允许</w:t>
            </w:r>
          </w:p>
        </w:tc>
      </w:tr>
      <w:tr w14:paraId="4B9B3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30698B26">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2.2.2</w:t>
            </w:r>
          </w:p>
        </w:tc>
        <w:tc>
          <w:tcPr>
            <w:tcW w:w="1732" w:type="dxa"/>
            <w:vAlign w:val="center"/>
          </w:tcPr>
          <w:p w14:paraId="523DCBD8">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采购人澄清或修改竞争性磋商文件的截止时间</w:t>
            </w:r>
          </w:p>
        </w:tc>
        <w:tc>
          <w:tcPr>
            <w:tcW w:w="7380" w:type="dxa"/>
            <w:vAlign w:val="center"/>
          </w:tcPr>
          <w:p w14:paraId="7FA05550">
            <w:pPr>
              <w:pStyle w:val="57"/>
              <w:keepNext w:val="0"/>
              <w:keepLines w:val="0"/>
              <w:pageBreakBefore w:val="0"/>
              <w:widowControl w:val="0"/>
              <w:kinsoku/>
              <w:wordWrap w:val="0"/>
              <w:overflowPunct/>
              <w:topLinePunct w:val="0"/>
              <w:autoSpaceDE w:val="0"/>
              <w:autoSpaceDN w:val="0"/>
              <w:bidi w:val="0"/>
              <w:adjustRightInd/>
              <w:snapToGrid/>
              <w:spacing w:line="360" w:lineRule="auto"/>
              <w:ind w:left="110" w:leftChars="5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递交响应文件截止之日</w:t>
            </w:r>
            <w:r>
              <w:rPr>
                <w:rFonts w:hint="eastAsia" w:ascii="宋体" w:hAnsi="宋体" w:eastAsia="宋体" w:cs="宋体"/>
                <w:color w:val="auto"/>
                <w:sz w:val="22"/>
                <w:szCs w:val="22"/>
                <w:highlight w:val="none"/>
                <w:u w:val="single"/>
                <w:lang w:eastAsia="zh-CN"/>
              </w:rPr>
              <w:t>5</w:t>
            </w:r>
            <w:r>
              <w:rPr>
                <w:rFonts w:hint="eastAsia" w:ascii="宋体" w:hAnsi="宋体" w:eastAsia="宋体" w:cs="宋体"/>
                <w:color w:val="auto"/>
                <w:sz w:val="22"/>
                <w:szCs w:val="22"/>
                <w:highlight w:val="none"/>
                <w:lang w:eastAsia="zh-CN"/>
              </w:rPr>
              <w:t>日前在“河南省公共资源交易中心（</w:t>
            </w:r>
            <w:r>
              <w:rPr>
                <w:rFonts w:hint="eastAsia" w:cs="宋体"/>
                <w:color w:val="auto"/>
                <w:sz w:val="22"/>
                <w:szCs w:val="22"/>
                <w:highlight w:val="none"/>
                <w:lang w:eastAsia="zh-CN"/>
              </w:rPr>
              <w:t>http://hnsggzyjy.henan.gov.cn</w:t>
            </w:r>
            <w:r>
              <w:rPr>
                <w:rFonts w:hint="eastAsia" w:ascii="宋体" w:hAnsi="宋体" w:eastAsia="宋体" w:cs="宋体"/>
                <w:color w:val="auto"/>
                <w:sz w:val="22"/>
                <w:szCs w:val="22"/>
                <w:highlight w:val="none"/>
                <w:lang w:eastAsia="zh-CN"/>
              </w:rPr>
              <w:t>）”电子交易平台公布给所有下载竞争性磋商文件的供应商。</w:t>
            </w:r>
          </w:p>
        </w:tc>
      </w:tr>
      <w:tr w14:paraId="7AECB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57AC8991">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2.2.3</w:t>
            </w:r>
          </w:p>
        </w:tc>
        <w:tc>
          <w:tcPr>
            <w:tcW w:w="1732" w:type="dxa"/>
            <w:vAlign w:val="center"/>
          </w:tcPr>
          <w:p w14:paraId="1401BF0C">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供应商确认收到竞争性磋商文件澄清或修改的时间</w:t>
            </w:r>
          </w:p>
        </w:tc>
        <w:tc>
          <w:tcPr>
            <w:tcW w:w="7380" w:type="dxa"/>
            <w:vAlign w:val="center"/>
          </w:tcPr>
          <w:p w14:paraId="1F073A4F">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澄清内容一经在项目公告网站和电子交易平台发布，视作已送达所有供应商。</w:t>
            </w:r>
          </w:p>
        </w:tc>
      </w:tr>
      <w:tr w14:paraId="774A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6741BB09">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3.4.1</w:t>
            </w:r>
          </w:p>
        </w:tc>
        <w:tc>
          <w:tcPr>
            <w:tcW w:w="1732" w:type="dxa"/>
            <w:vAlign w:val="center"/>
          </w:tcPr>
          <w:p w14:paraId="6A4B56A9">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磋商有效期</w:t>
            </w:r>
          </w:p>
        </w:tc>
        <w:tc>
          <w:tcPr>
            <w:tcW w:w="7380" w:type="dxa"/>
            <w:vAlign w:val="center"/>
          </w:tcPr>
          <w:p w14:paraId="6DFDAF6A">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60日历天（从首次响应文件递交截止时间起开始计算）</w:t>
            </w:r>
          </w:p>
        </w:tc>
      </w:tr>
      <w:tr w14:paraId="67CAB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4A8B821D">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3.5.1</w:t>
            </w:r>
          </w:p>
        </w:tc>
        <w:tc>
          <w:tcPr>
            <w:tcW w:w="1732" w:type="dxa"/>
            <w:vAlign w:val="center"/>
          </w:tcPr>
          <w:p w14:paraId="1FFAD961">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磋商保证金</w:t>
            </w:r>
          </w:p>
        </w:tc>
        <w:tc>
          <w:tcPr>
            <w:tcW w:w="7380" w:type="dxa"/>
            <w:vAlign w:val="center"/>
          </w:tcPr>
          <w:p w14:paraId="44C7008D">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lang w:eastAsia="zh-CN"/>
              </w:rPr>
              <w:t>无</w:t>
            </w:r>
          </w:p>
        </w:tc>
      </w:tr>
      <w:tr w14:paraId="52858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4B622F6B">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3.6</w:t>
            </w:r>
          </w:p>
        </w:tc>
        <w:tc>
          <w:tcPr>
            <w:tcW w:w="1732" w:type="dxa"/>
            <w:vAlign w:val="center"/>
          </w:tcPr>
          <w:p w14:paraId="3744C0AE">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是否允许递交备选磋商方案</w:t>
            </w:r>
          </w:p>
        </w:tc>
        <w:tc>
          <w:tcPr>
            <w:tcW w:w="7380" w:type="dxa"/>
            <w:vAlign w:val="center"/>
          </w:tcPr>
          <w:p w14:paraId="2E676572">
            <w:pPr>
              <w:pStyle w:val="57"/>
              <w:keepNext w:val="0"/>
              <w:keepLines w:val="0"/>
              <w:pageBreakBefore w:val="0"/>
              <w:widowControl w:val="0"/>
              <w:kinsoku/>
              <w:wordWrap w:val="0"/>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不允许</w:t>
            </w:r>
          </w:p>
        </w:tc>
      </w:tr>
      <w:tr w14:paraId="56163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748694EC">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3.7.3</w:t>
            </w:r>
          </w:p>
        </w:tc>
        <w:tc>
          <w:tcPr>
            <w:tcW w:w="1732" w:type="dxa"/>
            <w:vAlign w:val="center"/>
          </w:tcPr>
          <w:p w14:paraId="60EA8436">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签字和（或）盖章要求</w:t>
            </w:r>
          </w:p>
        </w:tc>
        <w:tc>
          <w:tcPr>
            <w:tcW w:w="7380" w:type="dxa"/>
            <w:vAlign w:val="center"/>
          </w:tcPr>
          <w:p w14:paraId="471F4C85">
            <w:pPr>
              <w:pStyle w:val="57"/>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lang w:eastAsia="zh-CN"/>
              </w:rPr>
              <w:t xml:space="preserve">所有要求供应商加盖公章的地方均用供应商的CA锁进行电子签章。 </w:t>
            </w:r>
          </w:p>
          <w:p w14:paraId="5FB41546">
            <w:pPr>
              <w:pStyle w:val="57"/>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（2）所有要求法定代表人签字或盖章的地方均用法定代表人的CA锁进行电子签章。若由委托代理人签字或盖章，且委托代理人没有CA锁的，则响应文件需上传有委托代理人手写签名的扫描件。</w:t>
            </w:r>
          </w:p>
        </w:tc>
      </w:tr>
      <w:tr w14:paraId="18DFC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7DE84730">
            <w:pPr>
              <w:pStyle w:val="57"/>
              <w:spacing w:line="360" w:lineRule="auto"/>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4.1.1</w:t>
            </w:r>
          </w:p>
        </w:tc>
        <w:tc>
          <w:tcPr>
            <w:tcW w:w="1732" w:type="dxa"/>
            <w:vAlign w:val="center"/>
          </w:tcPr>
          <w:p w14:paraId="16BCF4EC">
            <w:pPr>
              <w:pStyle w:val="57"/>
              <w:spacing w:line="360" w:lineRule="auto"/>
              <w:ind w:hanging="53"/>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响应文件上传/递交截止时间及地点）</w:t>
            </w:r>
          </w:p>
        </w:tc>
        <w:tc>
          <w:tcPr>
            <w:tcW w:w="7380" w:type="dxa"/>
            <w:vAlign w:val="center"/>
          </w:tcPr>
          <w:p w14:paraId="0A5FA6DD">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时间：202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年</w:t>
            </w:r>
            <w:r>
              <w:rPr>
                <w:rFonts w:hint="eastAsia"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月</w:t>
            </w:r>
            <w:r>
              <w:rPr>
                <w:rFonts w:hint="eastAsia" w:cs="宋体"/>
                <w:color w:val="auto"/>
                <w:sz w:val="22"/>
                <w:szCs w:val="22"/>
                <w:highlight w:val="none"/>
                <w:lang w:val="en-US" w:eastAsia="zh-CN"/>
              </w:rPr>
              <w:t>02</w:t>
            </w:r>
            <w:r>
              <w:rPr>
                <w:rFonts w:hint="eastAsia" w:ascii="宋体" w:hAnsi="宋体" w:eastAsia="宋体" w:cs="宋体"/>
                <w:color w:val="auto"/>
                <w:sz w:val="22"/>
                <w:szCs w:val="22"/>
                <w:highlight w:val="none"/>
                <w:lang w:eastAsia="zh-CN"/>
              </w:rPr>
              <w:t>日09时00分（北京时间）</w:t>
            </w:r>
          </w:p>
          <w:p w14:paraId="713FE48C">
            <w:pPr>
              <w:pStyle w:val="57"/>
              <w:spacing w:line="360" w:lineRule="auto"/>
              <w:ind w:left="110" w:leftChars="5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地点：河南省公共资源交易中心（</w:t>
            </w:r>
            <w:r>
              <w:rPr>
                <w:rFonts w:hint="eastAsia" w:cs="宋体"/>
                <w:color w:val="auto"/>
                <w:spacing w:val="-4"/>
                <w:sz w:val="22"/>
                <w:szCs w:val="22"/>
                <w:highlight w:val="none"/>
                <w:lang w:eastAsia="zh-CN"/>
              </w:rPr>
              <w:t>http://hnsggzyjy.henan.gov.cn</w:t>
            </w:r>
            <w:r>
              <w:rPr>
                <w:rFonts w:hint="eastAsia" w:ascii="宋体" w:hAnsi="宋体" w:eastAsia="宋体" w:cs="宋体"/>
                <w:color w:val="auto"/>
                <w:spacing w:val="-4"/>
                <w:sz w:val="22"/>
                <w:szCs w:val="22"/>
                <w:highlight w:val="none"/>
              </w:rPr>
              <w:t>）</w:t>
            </w:r>
          </w:p>
        </w:tc>
      </w:tr>
      <w:tr w14:paraId="367FC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5FBBA1A8">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4.1.2</w:t>
            </w:r>
          </w:p>
        </w:tc>
        <w:tc>
          <w:tcPr>
            <w:tcW w:w="1732" w:type="dxa"/>
            <w:vAlign w:val="center"/>
          </w:tcPr>
          <w:p w14:paraId="0D8CE68B">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响应文件的递交</w:t>
            </w:r>
          </w:p>
        </w:tc>
        <w:tc>
          <w:tcPr>
            <w:tcW w:w="7380" w:type="dxa"/>
            <w:vAlign w:val="center"/>
          </w:tcPr>
          <w:p w14:paraId="425E1D1E">
            <w:pPr>
              <w:pStyle w:val="57"/>
              <w:spacing w:line="360" w:lineRule="auto"/>
              <w:ind w:left="110"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供应商应在不迟于“供应商须知前附表”中规定的截止时间前将竞争性磋商响应文件加密上传至交易平台，并在系统规</w:t>
            </w:r>
            <w:r>
              <w:rPr>
                <w:rFonts w:hint="eastAsia" w:ascii="宋体" w:hAnsi="宋体" w:eastAsia="宋体" w:cs="宋体"/>
                <w:color w:val="auto"/>
                <w:spacing w:val="-8"/>
                <w:sz w:val="22"/>
                <w:szCs w:val="22"/>
                <w:highlight w:val="none"/>
                <w:lang w:eastAsia="zh-CN"/>
              </w:rPr>
              <w:t>定的时间内使用</w:t>
            </w:r>
            <w:r>
              <w:rPr>
                <w:rFonts w:hint="eastAsia" w:ascii="宋体" w:hAnsi="宋体" w:eastAsia="宋体" w:cs="宋体"/>
                <w:color w:val="auto"/>
                <w:sz w:val="22"/>
                <w:szCs w:val="22"/>
                <w:highlight w:val="none"/>
                <w:lang w:eastAsia="zh-CN"/>
              </w:rPr>
              <w:t>CA</w:t>
            </w:r>
            <w:r>
              <w:rPr>
                <w:rFonts w:hint="eastAsia" w:ascii="宋体" w:hAnsi="宋体" w:eastAsia="宋体" w:cs="宋体"/>
                <w:color w:val="auto"/>
                <w:spacing w:val="-13"/>
                <w:sz w:val="22"/>
                <w:szCs w:val="22"/>
                <w:highlight w:val="none"/>
                <w:lang w:eastAsia="zh-CN"/>
              </w:rPr>
              <w:t>数字证书进行现场解密。</w:t>
            </w:r>
            <w:r>
              <w:rPr>
                <w:rFonts w:hint="eastAsia" w:ascii="宋体" w:hAnsi="宋体" w:eastAsia="宋体" w:cs="宋体"/>
                <w:color w:val="auto"/>
                <w:spacing w:val="-13"/>
                <w:sz w:val="22"/>
                <w:szCs w:val="22"/>
                <w:highlight w:val="none"/>
              </w:rPr>
              <w:t>迟交的电子响应</w:t>
            </w:r>
            <w:r>
              <w:rPr>
                <w:rFonts w:hint="eastAsia" w:ascii="宋体" w:hAnsi="宋体" w:eastAsia="宋体" w:cs="宋体"/>
                <w:color w:val="auto"/>
                <w:sz w:val="22"/>
                <w:szCs w:val="22"/>
                <w:highlight w:val="none"/>
              </w:rPr>
              <w:t>文件将不被接收。</w:t>
            </w:r>
          </w:p>
        </w:tc>
      </w:tr>
      <w:tr w14:paraId="38089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4B73C812">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5.1</w:t>
            </w:r>
          </w:p>
        </w:tc>
        <w:tc>
          <w:tcPr>
            <w:tcW w:w="1732" w:type="dxa"/>
            <w:vAlign w:val="center"/>
          </w:tcPr>
          <w:p w14:paraId="77592DA0">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开启时间和地点</w:t>
            </w:r>
          </w:p>
        </w:tc>
        <w:tc>
          <w:tcPr>
            <w:tcW w:w="7380" w:type="dxa"/>
            <w:vAlign w:val="center"/>
          </w:tcPr>
          <w:p w14:paraId="7E93EAF1">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时间：同竞争性磋商响应文件递交截止时间</w:t>
            </w:r>
          </w:p>
          <w:p w14:paraId="0FA93103">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地点：同竞争性磋商响应文件递交地点</w:t>
            </w:r>
          </w:p>
        </w:tc>
      </w:tr>
      <w:tr w14:paraId="6E357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34E234C5">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6.1.1</w:t>
            </w:r>
          </w:p>
        </w:tc>
        <w:tc>
          <w:tcPr>
            <w:tcW w:w="1732" w:type="dxa"/>
            <w:vAlign w:val="center"/>
          </w:tcPr>
          <w:p w14:paraId="1356C8E0">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磋商小组的组建</w:t>
            </w:r>
          </w:p>
        </w:tc>
        <w:tc>
          <w:tcPr>
            <w:tcW w:w="7380" w:type="dxa"/>
            <w:vAlign w:val="center"/>
          </w:tcPr>
          <w:p w14:paraId="33D1B278">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lang w:eastAsia="zh-CN"/>
              </w:rPr>
              <w:t>磋商小组构成：</w:t>
            </w:r>
            <w:r>
              <w:rPr>
                <w:rFonts w:hint="eastAsia" w:ascii="宋体" w:hAnsi="宋体" w:eastAsia="宋体" w:cs="宋体"/>
                <w:color w:val="auto"/>
                <w:spacing w:val="-15"/>
                <w:sz w:val="22"/>
                <w:szCs w:val="22"/>
                <w:highlight w:val="none"/>
                <w:lang w:eastAsia="zh-CN"/>
              </w:rPr>
              <w:t>3</w:t>
            </w:r>
            <w:r>
              <w:rPr>
                <w:rFonts w:hint="eastAsia" w:ascii="宋体" w:hAnsi="宋体" w:eastAsia="宋体" w:cs="宋体"/>
                <w:color w:val="auto"/>
                <w:spacing w:val="-14"/>
                <w:sz w:val="22"/>
                <w:szCs w:val="22"/>
                <w:highlight w:val="none"/>
                <w:lang w:eastAsia="zh-CN"/>
              </w:rPr>
              <w:t>人，其中采购人代表</w:t>
            </w:r>
            <w:r>
              <w:rPr>
                <w:rFonts w:hint="eastAsia" w:ascii="宋体" w:hAnsi="宋体" w:eastAsia="宋体" w:cs="宋体"/>
                <w:color w:val="auto"/>
                <w:sz w:val="22"/>
                <w:szCs w:val="22"/>
                <w:highlight w:val="none"/>
                <w:lang w:eastAsia="zh-CN"/>
              </w:rPr>
              <w:t>1</w:t>
            </w:r>
            <w:r>
              <w:rPr>
                <w:rFonts w:hint="eastAsia" w:ascii="宋体" w:hAnsi="宋体" w:eastAsia="宋体" w:cs="宋体"/>
                <w:color w:val="auto"/>
                <w:spacing w:val="-17"/>
                <w:sz w:val="22"/>
                <w:szCs w:val="22"/>
                <w:highlight w:val="none"/>
                <w:lang w:eastAsia="zh-CN"/>
              </w:rPr>
              <w:t>人，经济技术专家</w:t>
            </w:r>
            <w:r>
              <w:rPr>
                <w:rFonts w:hint="eastAsia" w:ascii="宋体" w:hAnsi="宋体" w:eastAsia="宋体" w:cs="宋体"/>
                <w:color w:val="auto"/>
                <w:sz w:val="22"/>
                <w:szCs w:val="22"/>
                <w:highlight w:val="none"/>
                <w:lang w:eastAsia="zh-CN"/>
              </w:rPr>
              <w:t>2人组成。</w:t>
            </w:r>
          </w:p>
          <w:p w14:paraId="584D684A">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评审专家确定方式：</w:t>
            </w:r>
            <w:r>
              <w:rPr>
                <w:rFonts w:hint="eastAsia" w:ascii="宋体" w:hAnsi="宋体" w:eastAsia="宋体" w:cs="宋体"/>
                <w:color w:val="auto"/>
                <w:spacing w:val="-17"/>
                <w:sz w:val="22"/>
                <w:szCs w:val="22"/>
                <w:highlight w:val="none"/>
                <w:lang w:eastAsia="zh-CN"/>
              </w:rPr>
              <w:t>经济技术专家</w:t>
            </w:r>
            <w:r>
              <w:rPr>
                <w:rFonts w:hint="eastAsia" w:ascii="宋体" w:hAnsi="宋体" w:eastAsia="宋体" w:cs="宋体"/>
                <w:color w:val="auto"/>
                <w:sz w:val="22"/>
                <w:szCs w:val="22"/>
                <w:highlight w:val="none"/>
                <w:lang w:eastAsia="zh-CN"/>
              </w:rPr>
              <w:t>从河南省财政厅政府采购专家库中随机</w:t>
            </w:r>
            <w:r>
              <w:rPr>
                <w:rFonts w:hint="eastAsia" w:ascii="宋体" w:hAnsi="宋体" w:eastAsia="宋体" w:cs="宋体"/>
                <w:color w:val="auto"/>
                <w:sz w:val="22"/>
                <w:szCs w:val="22"/>
                <w:highlight w:val="none"/>
              </w:rPr>
              <w:t>抽取</w:t>
            </w:r>
            <w:r>
              <w:rPr>
                <w:rFonts w:hint="eastAsia" w:ascii="宋体" w:hAnsi="宋体" w:eastAsia="宋体" w:cs="宋体"/>
                <w:color w:val="auto"/>
                <w:sz w:val="22"/>
                <w:szCs w:val="22"/>
                <w:highlight w:val="none"/>
                <w:lang w:eastAsia="zh-CN"/>
              </w:rPr>
              <w:t>。</w:t>
            </w:r>
          </w:p>
        </w:tc>
      </w:tr>
      <w:tr w14:paraId="1EC89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3C9104E3">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6.3.2</w:t>
            </w:r>
          </w:p>
        </w:tc>
        <w:tc>
          <w:tcPr>
            <w:tcW w:w="1732" w:type="dxa"/>
            <w:vAlign w:val="center"/>
          </w:tcPr>
          <w:p w14:paraId="3BEF53F5">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是否授权磋商小</w:t>
            </w:r>
          </w:p>
          <w:p w14:paraId="46350D1F">
            <w:pPr>
              <w:pStyle w:val="57"/>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组确定成交</w:t>
            </w:r>
            <w:r>
              <w:rPr>
                <w:rFonts w:hint="eastAsia" w:ascii="宋体" w:hAnsi="宋体" w:eastAsia="宋体" w:cs="宋体"/>
                <w:color w:val="auto"/>
                <w:sz w:val="22"/>
                <w:szCs w:val="22"/>
                <w:highlight w:val="none"/>
                <w:lang w:val="en-US" w:eastAsia="zh-CN"/>
              </w:rPr>
              <w:t>供应商</w:t>
            </w:r>
          </w:p>
        </w:tc>
        <w:tc>
          <w:tcPr>
            <w:tcW w:w="7380" w:type="dxa"/>
            <w:vAlign w:val="center"/>
          </w:tcPr>
          <w:p w14:paraId="03D67513">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否；推荐的成交候选</w:t>
            </w:r>
            <w:r>
              <w:rPr>
                <w:rFonts w:hint="eastAsia" w:ascii="宋体" w:hAnsi="宋体" w:eastAsia="宋体" w:cs="宋体"/>
                <w:color w:val="auto"/>
                <w:sz w:val="22"/>
                <w:szCs w:val="22"/>
                <w:highlight w:val="none"/>
                <w:lang w:val="en-US" w:eastAsia="zh-CN"/>
              </w:rPr>
              <w:t>供应商数量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名</w:t>
            </w:r>
          </w:p>
        </w:tc>
      </w:tr>
      <w:tr w14:paraId="5796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59" w:type="dxa"/>
            <w:vAlign w:val="center"/>
          </w:tcPr>
          <w:p w14:paraId="5BAF65C6">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7.3.1</w:t>
            </w:r>
          </w:p>
        </w:tc>
        <w:tc>
          <w:tcPr>
            <w:tcW w:w="1732" w:type="dxa"/>
            <w:vAlign w:val="center"/>
          </w:tcPr>
          <w:p w14:paraId="63D3A039">
            <w:pPr>
              <w:pStyle w:val="57"/>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rPr>
              <w:t>履约保证金</w:t>
            </w:r>
          </w:p>
        </w:tc>
        <w:tc>
          <w:tcPr>
            <w:tcW w:w="7380" w:type="dxa"/>
            <w:vAlign w:val="center"/>
          </w:tcPr>
          <w:p w14:paraId="680CE325">
            <w:pPr>
              <w:pStyle w:val="57"/>
              <w:spacing w:line="360" w:lineRule="auto"/>
              <w:rPr>
                <w:rFonts w:hint="default" w:ascii="宋体" w:hAnsi="宋体" w:eastAsia="宋体" w:cs="宋体"/>
                <w:color w:val="auto"/>
                <w:sz w:val="22"/>
                <w:szCs w:val="22"/>
                <w:highlight w:val="none"/>
                <w:lang w:val="en-US" w:eastAsia="zh-CN" w:bidi="ar-SA"/>
              </w:rPr>
            </w:pPr>
            <w:r>
              <w:rPr>
                <w:rFonts w:hint="eastAsia" w:cs="宋体"/>
                <w:color w:val="auto"/>
                <w:sz w:val="22"/>
                <w:szCs w:val="22"/>
                <w:highlight w:val="none"/>
                <w:lang w:val="en-US" w:eastAsia="zh-CN" w:bidi="ar-SA"/>
              </w:rPr>
              <w:t>不提供</w:t>
            </w:r>
          </w:p>
        </w:tc>
      </w:tr>
      <w:tr w14:paraId="29921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723DFB83">
            <w:pPr>
              <w:pStyle w:val="57"/>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9.5</w:t>
            </w:r>
          </w:p>
        </w:tc>
        <w:tc>
          <w:tcPr>
            <w:tcW w:w="1732" w:type="dxa"/>
            <w:vAlign w:val="center"/>
          </w:tcPr>
          <w:p w14:paraId="75A3FD13">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w:t>
            </w:r>
          </w:p>
        </w:tc>
        <w:tc>
          <w:tcPr>
            <w:tcW w:w="7380" w:type="dxa"/>
            <w:vAlign w:val="center"/>
          </w:tcPr>
          <w:p w14:paraId="2519FBD9">
            <w:pPr>
              <w:pStyle w:val="57"/>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一、供应商认为自己的权益受到损害的，可以在知道或者应知其权益受到损害之日起七个工作日内，向</w:t>
            </w:r>
            <w:r>
              <w:rPr>
                <w:rFonts w:hint="eastAsia" w:ascii="宋体" w:hAnsi="宋体" w:eastAsia="宋体" w:cs="宋体"/>
                <w:color w:val="auto"/>
                <w:sz w:val="22"/>
                <w:szCs w:val="22"/>
                <w:highlight w:val="none"/>
                <w:lang w:val="en-US" w:eastAsia="zh-CN"/>
              </w:rPr>
              <w:t>采购人或</w:t>
            </w:r>
            <w:r>
              <w:rPr>
                <w:rFonts w:hint="eastAsia" w:ascii="宋体" w:hAnsi="宋体" w:eastAsia="宋体" w:cs="宋体"/>
                <w:color w:val="auto"/>
                <w:sz w:val="22"/>
                <w:szCs w:val="22"/>
                <w:highlight w:val="none"/>
                <w:lang w:eastAsia="zh-CN"/>
              </w:rPr>
              <w:t>采购代理机构提出质疑。</w:t>
            </w:r>
          </w:p>
          <w:p w14:paraId="102B6927">
            <w:pPr>
              <w:pStyle w:val="57"/>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接收质疑函的方式：接收加盖单位公章的书面纸质质疑函</w:t>
            </w:r>
          </w:p>
          <w:p w14:paraId="50E052DF">
            <w:pPr>
              <w:pStyle w:val="57"/>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采购人名称：</w:t>
            </w:r>
            <w:r>
              <w:rPr>
                <w:rFonts w:hint="eastAsia" w:cs="宋体"/>
                <w:color w:val="auto"/>
                <w:kern w:val="0"/>
                <w:sz w:val="22"/>
                <w:szCs w:val="22"/>
                <w:lang w:val="en-US" w:eastAsia="zh-CN"/>
              </w:rPr>
              <w:t>河南省开封生态环境监测中心</w:t>
            </w:r>
          </w:p>
          <w:p w14:paraId="325774B6">
            <w:pPr>
              <w:pStyle w:val="57"/>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地址：河南省开封市鼓楼区万善街2号</w:t>
            </w:r>
          </w:p>
          <w:p w14:paraId="50442CBA">
            <w:pPr>
              <w:pStyle w:val="57"/>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联系人：王先生</w:t>
            </w:r>
          </w:p>
          <w:p w14:paraId="47354D0B">
            <w:pPr>
              <w:pStyle w:val="57"/>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联系方式：0371-23151006</w:t>
            </w:r>
          </w:p>
          <w:p w14:paraId="101D4F8D">
            <w:pPr>
              <w:pStyle w:val="57"/>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采购代理机构名称：中海域安项目管理咨询有限公司</w:t>
            </w:r>
          </w:p>
          <w:p w14:paraId="5824B4C4">
            <w:pPr>
              <w:pStyle w:val="57"/>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地址：河南省郑州市金水区中州大道1188号置地广场3号楼12层63号</w:t>
            </w:r>
          </w:p>
          <w:p w14:paraId="29384369">
            <w:pPr>
              <w:pStyle w:val="57"/>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联系人：</w:t>
            </w:r>
            <w:r>
              <w:rPr>
                <w:rFonts w:hint="eastAsia" w:cs="宋体"/>
                <w:color w:val="auto"/>
                <w:kern w:val="0"/>
                <w:sz w:val="22"/>
                <w:szCs w:val="22"/>
                <w:lang w:val="en-US" w:eastAsia="zh-CN"/>
              </w:rPr>
              <w:t>申越</w:t>
            </w:r>
          </w:p>
          <w:p w14:paraId="072C4743">
            <w:pPr>
              <w:pStyle w:val="57"/>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联系方式：0371-85512909-80</w:t>
            </w:r>
            <w:r>
              <w:rPr>
                <w:rFonts w:hint="eastAsia" w:cs="宋体"/>
                <w:color w:val="auto"/>
                <w:sz w:val="22"/>
                <w:szCs w:val="22"/>
                <w:highlight w:val="none"/>
                <w:lang w:val="en-US" w:eastAsia="zh-CN"/>
              </w:rPr>
              <w:t>5</w:t>
            </w:r>
          </w:p>
          <w:p w14:paraId="5AB8DDC7">
            <w:pPr>
              <w:pStyle w:val="57"/>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质疑函的内容、格式：应符合《政府采购质疑和投诉办法》相关规定和财政部门制定的《政府采购质疑函范本》格式。</w:t>
            </w:r>
          </w:p>
          <w:p w14:paraId="1D743C84">
            <w:pPr>
              <w:pStyle w:val="57"/>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二、供应商应在法定质疑期内一次性针对同一采购程序环节（采购程序环节分为：采购公告、采购文件、采购过程、成交结果）提出质疑，否则针对再次提出质疑将不予接收。</w:t>
            </w:r>
          </w:p>
        </w:tc>
      </w:tr>
      <w:tr w14:paraId="16227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31249274">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9112" w:type="dxa"/>
            <w:gridSpan w:val="2"/>
            <w:vAlign w:val="center"/>
          </w:tcPr>
          <w:p w14:paraId="39A0209F">
            <w:pPr>
              <w:pStyle w:val="5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需要补充的其他内容</w:t>
            </w:r>
          </w:p>
        </w:tc>
      </w:tr>
      <w:tr w14:paraId="1B9E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0A944CE2">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w:t>
            </w:r>
          </w:p>
        </w:tc>
        <w:tc>
          <w:tcPr>
            <w:tcW w:w="9112" w:type="dxa"/>
            <w:gridSpan w:val="2"/>
            <w:vAlign w:val="center"/>
          </w:tcPr>
          <w:p w14:paraId="76C29AA9">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各供应商报价不得超过最高限价，超过最高限价的响应文件按无效标处理。</w:t>
            </w:r>
          </w:p>
        </w:tc>
      </w:tr>
      <w:tr w14:paraId="71CC3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56ED4FCD">
            <w:pPr>
              <w:pStyle w:val="57"/>
              <w:spacing w:line="360" w:lineRule="auto"/>
              <w:ind w:left="110" w:left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w:t>
            </w:r>
          </w:p>
        </w:tc>
        <w:tc>
          <w:tcPr>
            <w:tcW w:w="9112" w:type="dxa"/>
            <w:gridSpan w:val="2"/>
            <w:vAlign w:val="center"/>
          </w:tcPr>
          <w:p w14:paraId="5763BC6B">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本次</w:t>
            </w:r>
            <w:r>
              <w:rPr>
                <w:rFonts w:hint="eastAsia" w:ascii="宋体" w:hAnsi="宋体" w:eastAsia="宋体" w:cs="宋体"/>
                <w:color w:val="auto"/>
                <w:sz w:val="22"/>
                <w:szCs w:val="22"/>
                <w:highlight w:val="none"/>
                <w:lang w:eastAsia="zh-CN"/>
              </w:rPr>
              <w:t>代理</w:t>
            </w:r>
            <w:r>
              <w:rPr>
                <w:rFonts w:hint="eastAsia" w:ascii="宋体" w:hAnsi="宋体" w:eastAsia="宋体" w:cs="宋体"/>
                <w:color w:val="auto"/>
                <w:sz w:val="22"/>
                <w:szCs w:val="22"/>
                <w:highlight w:val="none"/>
                <w:lang w:val="en-US" w:eastAsia="zh-CN"/>
              </w:rPr>
              <w:t>服务费：</w:t>
            </w:r>
            <w:r>
              <w:rPr>
                <w:rFonts w:hint="eastAsia" w:cs="宋体"/>
                <w:color w:val="auto"/>
                <w:sz w:val="22"/>
                <w:szCs w:val="22"/>
                <w:highlight w:val="none"/>
                <w:lang w:val="en-US" w:eastAsia="zh-CN"/>
              </w:rPr>
              <w:t>按照</w:t>
            </w:r>
            <w:r>
              <w:rPr>
                <w:rFonts w:hint="eastAsia" w:ascii="宋体" w:hAnsi="宋体" w:eastAsia="宋体" w:cs="宋体"/>
                <w:color w:val="auto"/>
                <w:sz w:val="22"/>
                <w:szCs w:val="22"/>
                <w:highlight w:val="none"/>
                <w:lang w:val="en-US" w:eastAsia="zh-CN"/>
              </w:rPr>
              <w:t>《河南省招标代理服务收费指导意见》豫招协[2023]002号文的计算办法计取，由成交人在领取成交通知书时应向采购代理机构一次性支付。</w:t>
            </w:r>
          </w:p>
        </w:tc>
      </w:tr>
      <w:tr w14:paraId="0E7B5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19749854">
            <w:pPr>
              <w:pStyle w:val="57"/>
              <w:spacing w:line="360" w:lineRule="auto"/>
              <w:ind w:left="110" w:left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10.3</w:t>
            </w:r>
          </w:p>
        </w:tc>
        <w:tc>
          <w:tcPr>
            <w:tcW w:w="9112" w:type="dxa"/>
            <w:gridSpan w:val="2"/>
            <w:vAlign w:val="center"/>
          </w:tcPr>
          <w:p w14:paraId="476EE28C">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eastAsia="zh-CN"/>
              </w:rPr>
              <w:t>供应商须独立制作、修改和上传响应文件，若因“响应文件制作机器码”与其他供应商一致，机器码一致的所有响应文件按无效文件处理，所造成的不良后果由供应商自行承担。</w:t>
            </w:r>
          </w:p>
        </w:tc>
      </w:tr>
      <w:tr w14:paraId="5F3F0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06C45A3E">
            <w:pPr>
              <w:pStyle w:val="57"/>
              <w:spacing w:line="360" w:lineRule="auto"/>
              <w:ind w:left="110" w:left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10.4</w:t>
            </w:r>
          </w:p>
        </w:tc>
        <w:tc>
          <w:tcPr>
            <w:tcW w:w="9112" w:type="dxa"/>
            <w:gridSpan w:val="2"/>
            <w:vAlign w:val="center"/>
          </w:tcPr>
          <w:p w14:paraId="73B5D02F">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解释权：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前附表、评审办法、响应文件格式的编排顺序在后者为准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9013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7F485406">
            <w:pPr>
              <w:pStyle w:val="57"/>
              <w:spacing w:line="360" w:lineRule="auto"/>
              <w:ind w:left="110" w:left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10.5</w:t>
            </w:r>
          </w:p>
        </w:tc>
        <w:tc>
          <w:tcPr>
            <w:tcW w:w="9112" w:type="dxa"/>
            <w:gridSpan w:val="2"/>
            <w:vAlign w:val="center"/>
          </w:tcPr>
          <w:p w14:paraId="2E0BC139">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供应商提供的补充资料均需在评审工作当日评审会结束前提供，供应商在评审会结束后递交的任何补充、澄清、说明、证明、承诺等资料均不再给予认定，供应商自行承担未能按时提供上述资料造成的后果。</w:t>
            </w:r>
          </w:p>
        </w:tc>
      </w:tr>
      <w:tr w14:paraId="2C258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859" w:type="dxa"/>
            <w:vAlign w:val="center"/>
          </w:tcPr>
          <w:p w14:paraId="5273D4D5">
            <w:pPr>
              <w:pStyle w:val="57"/>
              <w:spacing w:line="360" w:lineRule="auto"/>
              <w:ind w:left="110" w:leftChars="50"/>
              <w:jc w:val="center"/>
              <w:rPr>
                <w:rFonts w:hint="eastAsia" w:ascii="宋体" w:hAnsi="宋体" w:eastAsia="宋体" w:cs="宋体"/>
                <w:color w:val="auto"/>
                <w:sz w:val="22"/>
                <w:szCs w:val="22"/>
                <w:highlight w:val="none"/>
                <w:lang w:eastAsia="zh-CN"/>
              </w:rPr>
            </w:pPr>
          </w:p>
          <w:p w14:paraId="1438DF2D">
            <w:pPr>
              <w:pStyle w:val="57"/>
              <w:spacing w:line="360" w:lineRule="auto"/>
              <w:ind w:left="110" w:leftChars="50"/>
              <w:jc w:val="center"/>
              <w:rPr>
                <w:rFonts w:hint="eastAsia" w:ascii="宋体" w:hAnsi="宋体" w:eastAsia="宋体" w:cs="宋体"/>
                <w:color w:val="auto"/>
                <w:sz w:val="22"/>
                <w:szCs w:val="22"/>
                <w:highlight w:val="none"/>
                <w:lang w:eastAsia="zh-CN"/>
              </w:rPr>
            </w:pPr>
          </w:p>
          <w:p w14:paraId="589B549D">
            <w:pPr>
              <w:pStyle w:val="57"/>
              <w:spacing w:line="360" w:lineRule="auto"/>
              <w:ind w:left="110" w:left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10.6</w:t>
            </w:r>
          </w:p>
        </w:tc>
        <w:tc>
          <w:tcPr>
            <w:tcW w:w="9112" w:type="dxa"/>
            <w:gridSpan w:val="2"/>
            <w:vAlign w:val="center"/>
          </w:tcPr>
          <w:p w14:paraId="48EBCA4C">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本项目所有澄清、补遗、补充通知均在河南省公共资源交易中心</w:t>
            </w:r>
            <w:r>
              <w:rPr>
                <w:rFonts w:hint="eastAsia" w:ascii="宋体" w:hAnsi="宋体" w:eastAsia="宋体" w:cs="宋体"/>
                <w:color w:val="auto"/>
                <w:sz w:val="22"/>
                <w:szCs w:val="22"/>
                <w:highlight w:val="none"/>
                <w:lang w:val="en-US" w:eastAsia="zh-CN"/>
              </w:rPr>
              <w:t>系统中</w:t>
            </w:r>
            <w:r>
              <w:rPr>
                <w:rFonts w:hint="eastAsia" w:ascii="宋体" w:hAnsi="宋体" w:eastAsia="宋体" w:cs="宋体"/>
                <w:color w:val="auto"/>
                <w:sz w:val="22"/>
                <w:szCs w:val="22"/>
                <w:highlight w:val="none"/>
                <w:lang w:eastAsia="zh-CN"/>
              </w:rPr>
              <w:t>发布，请各供应商注意</w:t>
            </w:r>
            <w:r>
              <w:rPr>
                <w:rFonts w:hint="eastAsia" w:ascii="宋体" w:hAnsi="宋体" w:eastAsia="宋体" w:cs="宋体"/>
                <w:color w:val="auto"/>
                <w:sz w:val="22"/>
                <w:szCs w:val="22"/>
                <w:highlight w:val="none"/>
                <w:lang w:val="en-US" w:eastAsia="zh-CN"/>
              </w:rPr>
              <w:t>查看</w:t>
            </w:r>
            <w:r>
              <w:rPr>
                <w:rFonts w:hint="eastAsia" w:ascii="宋体" w:hAnsi="宋体" w:eastAsia="宋体" w:cs="宋体"/>
                <w:color w:val="auto"/>
                <w:sz w:val="22"/>
                <w:szCs w:val="22"/>
                <w:highlight w:val="none"/>
                <w:lang w:eastAsia="zh-CN"/>
              </w:rPr>
              <w:t>下载。</w:t>
            </w:r>
          </w:p>
          <w:p w14:paraId="78852A93">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成交结果公告：竞争性磋商结果将在竞争性磋商公告发布的同一媒介发布。</w:t>
            </w:r>
          </w:p>
        </w:tc>
      </w:tr>
      <w:tr w14:paraId="4BE3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14D5E58A">
            <w:pPr>
              <w:pStyle w:val="57"/>
              <w:spacing w:line="360" w:lineRule="auto"/>
              <w:ind w:left="110" w:leftChars="50"/>
              <w:jc w:val="center"/>
              <w:rPr>
                <w:rFonts w:hint="eastAsia" w:ascii="宋体" w:hAnsi="宋体" w:eastAsia="宋体" w:cs="宋体"/>
                <w:color w:val="auto"/>
                <w:sz w:val="22"/>
                <w:szCs w:val="22"/>
                <w:highlight w:val="none"/>
                <w:lang w:eastAsia="zh-CN"/>
              </w:rPr>
            </w:pPr>
          </w:p>
          <w:p w14:paraId="4A57C0AF">
            <w:pPr>
              <w:pStyle w:val="57"/>
              <w:spacing w:line="360" w:lineRule="auto"/>
              <w:ind w:left="110" w:leftChars="50"/>
              <w:jc w:val="center"/>
              <w:rPr>
                <w:rFonts w:hint="eastAsia" w:ascii="宋体" w:hAnsi="宋体" w:eastAsia="宋体" w:cs="宋体"/>
                <w:color w:val="auto"/>
                <w:sz w:val="22"/>
                <w:szCs w:val="22"/>
                <w:highlight w:val="none"/>
                <w:lang w:eastAsia="zh-CN"/>
              </w:rPr>
            </w:pPr>
          </w:p>
          <w:p w14:paraId="658B149D">
            <w:pPr>
              <w:pStyle w:val="57"/>
              <w:spacing w:line="360" w:lineRule="auto"/>
              <w:ind w:left="110" w:leftChars="50"/>
              <w:jc w:val="center"/>
              <w:rPr>
                <w:rFonts w:hint="eastAsia" w:ascii="宋体" w:hAnsi="宋体" w:eastAsia="宋体" w:cs="宋体"/>
                <w:color w:val="auto"/>
                <w:sz w:val="22"/>
                <w:szCs w:val="22"/>
                <w:highlight w:val="none"/>
                <w:lang w:eastAsia="zh-CN"/>
              </w:rPr>
            </w:pPr>
          </w:p>
          <w:p w14:paraId="516BA4FF">
            <w:pPr>
              <w:pStyle w:val="57"/>
              <w:spacing w:line="360" w:lineRule="auto"/>
              <w:ind w:left="110" w:leftChars="50"/>
              <w:jc w:val="center"/>
              <w:rPr>
                <w:rFonts w:hint="eastAsia" w:ascii="宋体" w:hAnsi="宋体" w:eastAsia="宋体" w:cs="宋体"/>
                <w:color w:val="auto"/>
                <w:sz w:val="22"/>
                <w:szCs w:val="22"/>
                <w:highlight w:val="none"/>
                <w:lang w:eastAsia="zh-CN"/>
              </w:rPr>
            </w:pPr>
          </w:p>
          <w:p w14:paraId="50145C4D">
            <w:pPr>
              <w:pStyle w:val="57"/>
              <w:spacing w:line="360" w:lineRule="auto"/>
              <w:ind w:left="110" w:leftChars="50"/>
              <w:jc w:val="center"/>
              <w:rPr>
                <w:rFonts w:hint="eastAsia" w:ascii="宋体" w:hAnsi="宋体" w:eastAsia="宋体" w:cs="宋体"/>
                <w:color w:val="auto"/>
                <w:sz w:val="22"/>
                <w:szCs w:val="22"/>
                <w:highlight w:val="none"/>
                <w:lang w:eastAsia="zh-CN"/>
              </w:rPr>
            </w:pPr>
          </w:p>
          <w:p w14:paraId="0020F7F1">
            <w:pPr>
              <w:pStyle w:val="57"/>
              <w:spacing w:line="360" w:lineRule="auto"/>
              <w:ind w:left="110" w:leftChars="50"/>
              <w:jc w:val="center"/>
              <w:rPr>
                <w:rFonts w:hint="eastAsia" w:ascii="宋体" w:hAnsi="宋体" w:eastAsia="宋体" w:cs="宋体"/>
                <w:color w:val="auto"/>
                <w:sz w:val="22"/>
                <w:szCs w:val="22"/>
                <w:highlight w:val="none"/>
                <w:lang w:eastAsia="zh-CN"/>
              </w:rPr>
            </w:pPr>
          </w:p>
          <w:p w14:paraId="5003CD4E">
            <w:pPr>
              <w:pStyle w:val="57"/>
              <w:spacing w:line="360" w:lineRule="auto"/>
              <w:ind w:left="110" w:leftChars="50"/>
              <w:jc w:val="center"/>
              <w:rPr>
                <w:rFonts w:hint="eastAsia" w:ascii="宋体" w:hAnsi="宋体" w:eastAsia="宋体" w:cs="宋体"/>
                <w:color w:val="auto"/>
                <w:sz w:val="22"/>
                <w:szCs w:val="22"/>
                <w:highlight w:val="none"/>
                <w:lang w:eastAsia="zh-CN"/>
              </w:rPr>
            </w:pPr>
          </w:p>
          <w:p w14:paraId="39B0CF4C">
            <w:pPr>
              <w:pStyle w:val="57"/>
              <w:spacing w:line="360" w:lineRule="auto"/>
              <w:ind w:left="110" w:leftChars="50"/>
              <w:jc w:val="center"/>
              <w:rPr>
                <w:rFonts w:hint="eastAsia" w:ascii="宋体" w:hAnsi="宋体" w:eastAsia="宋体" w:cs="宋体"/>
                <w:color w:val="auto"/>
                <w:sz w:val="22"/>
                <w:szCs w:val="22"/>
                <w:highlight w:val="none"/>
                <w:lang w:eastAsia="zh-CN"/>
              </w:rPr>
            </w:pPr>
          </w:p>
          <w:p w14:paraId="735F7D47">
            <w:pPr>
              <w:pStyle w:val="57"/>
              <w:spacing w:line="360" w:lineRule="auto"/>
              <w:ind w:left="110" w:leftChars="50"/>
              <w:jc w:val="center"/>
              <w:rPr>
                <w:rFonts w:hint="eastAsia" w:ascii="宋体" w:hAnsi="宋体" w:eastAsia="宋体" w:cs="宋体"/>
                <w:color w:val="auto"/>
                <w:sz w:val="22"/>
                <w:szCs w:val="22"/>
                <w:highlight w:val="none"/>
                <w:lang w:eastAsia="zh-CN"/>
              </w:rPr>
            </w:pPr>
          </w:p>
          <w:p w14:paraId="71326D86">
            <w:pPr>
              <w:pStyle w:val="57"/>
              <w:spacing w:line="360" w:lineRule="auto"/>
              <w:ind w:left="110" w:leftChars="50"/>
              <w:jc w:val="center"/>
              <w:rPr>
                <w:rFonts w:hint="eastAsia" w:ascii="宋体" w:hAnsi="宋体" w:eastAsia="宋体" w:cs="宋体"/>
                <w:color w:val="auto"/>
                <w:sz w:val="22"/>
                <w:szCs w:val="22"/>
                <w:highlight w:val="none"/>
                <w:lang w:eastAsia="zh-CN"/>
              </w:rPr>
            </w:pPr>
          </w:p>
          <w:p w14:paraId="350FC44C">
            <w:pPr>
              <w:pStyle w:val="57"/>
              <w:spacing w:line="360" w:lineRule="auto"/>
              <w:ind w:left="110" w:leftChars="50"/>
              <w:jc w:val="center"/>
              <w:rPr>
                <w:rFonts w:hint="eastAsia" w:ascii="宋体" w:hAnsi="宋体" w:eastAsia="宋体" w:cs="宋体"/>
                <w:color w:val="auto"/>
                <w:sz w:val="22"/>
                <w:szCs w:val="22"/>
                <w:highlight w:val="none"/>
                <w:lang w:eastAsia="zh-CN"/>
              </w:rPr>
            </w:pPr>
          </w:p>
          <w:p w14:paraId="0D73EEA4">
            <w:pPr>
              <w:pStyle w:val="57"/>
              <w:spacing w:line="360" w:lineRule="auto"/>
              <w:ind w:left="110" w:leftChars="50"/>
              <w:jc w:val="center"/>
              <w:rPr>
                <w:rFonts w:hint="eastAsia" w:ascii="宋体" w:hAnsi="宋体" w:eastAsia="宋体" w:cs="宋体"/>
                <w:color w:val="auto"/>
                <w:sz w:val="22"/>
                <w:szCs w:val="22"/>
                <w:highlight w:val="none"/>
                <w:lang w:eastAsia="zh-CN"/>
              </w:rPr>
            </w:pPr>
          </w:p>
          <w:p w14:paraId="47FC7A47">
            <w:pPr>
              <w:pStyle w:val="57"/>
              <w:spacing w:line="360" w:lineRule="auto"/>
              <w:ind w:left="110" w:leftChars="50"/>
              <w:jc w:val="center"/>
              <w:rPr>
                <w:rFonts w:hint="eastAsia" w:ascii="宋体" w:hAnsi="宋体" w:eastAsia="宋体" w:cs="宋体"/>
                <w:color w:val="auto"/>
                <w:sz w:val="22"/>
                <w:szCs w:val="22"/>
                <w:highlight w:val="none"/>
                <w:lang w:eastAsia="zh-CN"/>
              </w:rPr>
            </w:pPr>
          </w:p>
          <w:p w14:paraId="42E90FBB">
            <w:pPr>
              <w:pStyle w:val="57"/>
              <w:spacing w:line="360" w:lineRule="auto"/>
              <w:ind w:left="110" w:leftChars="50"/>
              <w:jc w:val="center"/>
              <w:rPr>
                <w:rFonts w:hint="eastAsia" w:ascii="宋体" w:hAnsi="宋体" w:eastAsia="宋体" w:cs="宋体"/>
                <w:color w:val="auto"/>
                <w:sz w:val="22"/>
                <w:szCs w:val="22"/>
                <w:highlight w:val="none"/>
                <w:lang w:eastAsia="zh-CN"/>
              </w:rPr>
            </w:pPr>
          </w:p>
          <w:p w14:paraId="7B6D4388">
            <w:pPr>
              <w:pStyle w:val="57"/>
              <w:spacing w:line="360" w:lineRule="auto"/>
              <w:ind w:left="110" w:leftChars="50"/>
              <w:jc w:val="center"/>
              <w:rPr>
                <w:rFonts w:hint="eastAsia" w:ascii="宋体" w:hAnsi="宋体" w:eastAsia="宋体" w:cs="宋体"/>
                <w:color w:val="auto"/>
                <w:sz w:val="22"/>
                <w:szCs w:val="22"/>
                <w:highlight w:val="none"/>
                <w:lang w:eastAsia="zh-CN"/>
              </w:rPr>
            </w:pPr>
          </w:p>
          <w:p w14:paraId="518DA494">
            <w:pPr>
              <w:pStyle w:val="57"/>
              <w:spacing w:line="360" w:lineRule="auto"/>
              <w:ind w:left="110" w:leftChars="50"/>
              <w:jc w:val="center"/>
              <w:rPr>
                <w:rFonts w:hint="eastAsia" w:ascii="宋体" w:hAnsi="宋体" w:eastAsia="宋体" w:cs="宋体"/>
                <w:color w:val="auto"/>
                <w:sz w:val="22"/>
                <w:szCs w:val="22"/>
                <w:highlight w:val="none"/>
                <w:lang w:eastAsia="zh-CN"/>
              </w:rPr>
            </w:pPr>
          </w:p>
          <w:p w14:paraId="5F89B903">
            <w:pPr>
              <w:pStyle w:val="57"/>
              <w:spacing w:line="360" w:lineRule="auto"/>
              <w:ind w:left="110" w:leftChars="50"/>
              <w:jc w:val="center"/>
              <w:rPr>
                <w:rFonts w:hint="eastAsia" w:ascii="宋体" w:hAnsi="宋体" w:eastAsia="宋体" w:cs="宋体"/>
                <w:color w:val="auto"/>
                <w:sz w:val="22"/>
                <w:szCs w:val="22"/>
                <w:highlight w:val="none"/>
                <w:lang w:eastAsia="zh-CN"/>
              </w:rPr>
            </w:pPr>
          </w:p>
          <w:p w14:paraId="29D84DF1">
            <w:pPr>
              <w:pStyle w:val="57"/>
              <w:spacing w:line="360" w:lineRule="auto"/>
              <w:ind w:left="110" w:left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10.7</w:t>
            </w:r>
          </w:p>
        </w:tc>
        <w:tc>
          <w:tcPr>
            <w:tcW w:w="9112" w:type="dxa"/>
            <w:gridSpan w:val="2"/>
            <w:vAlign w:val="center"/>
          </w:tcPr>
          <w:p w14:paraId="54B685CF">
            <w:pPr>
              <w:pStyle w:val="57"/>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政府采购政策执行：</w:t>
            </w:r>
          </w:p>
          <w:p w14:paraId="6ABB61D3">
            <w:pPr>
              <w:pStyle w:val="57"/>
              <w:spacing w:line="360" w:lineRule="auto"/>
              <w:ind w:left="110" w:leftChars="50"/>
              <w:rPr>
                <w:rFonts w:hint="eastAsia"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cs="宋体"/>
                <w:color w:val="auto"/>
                <w:sz w:val="22"/>
                <w:szCs w:val="22"/>
                <w:highlight w:val="none"/>
                <w:lang w:val="en-US" w:eastAsia="zh-CN"/>
              </w:rPr>
              <w:t>.根据《中华人民共和国政府采购法实施条例》第六条和财库[2020]46号、财库〔2022〕19号，本项目为专门面向小微企业采购，小微型企业须提交《中小企业声明函》原件，否则不予采纳；（声明函格式详见附件）</w:t>
            </w:r>
          </w:p>
          <w:p w14:paraId="53D96846">
            <w:pPr>
              <w:pStyle w:val="57"/>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cs="宋体"/>
                <w:color w:val="auto"/>
                <w:sz w:val="21"/>
                <w:szCs w:val="21"/>
                <w:highlight w:val="none"/>
              </w:rPr>
              <w:t>中小企业划型标准以工信部联企业〔2011〕300 号《工业和信息化部国家统计局国家发展和改革委财政部关于印发中小企业划型标准规定的通知》为依据。其中企业的营业收入、资产总额判定依据为最近一年度的财务审计报告，企业从业人员总数判定依据为缴纳统筹人员总数。</w:t>
            </w:r>
          </w:p>
          <w:p w14:paraId="053C2A87">
            <w:pPr>
              <w:pStyle w:val="57"/>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财政部、司法部关于政府采购支持监狱企业发展有关问题的通知》(财库〔2014〕68号)的规定，提供由省级以上监狱管理局、戒毒管理局（含新疆生产建设兵团）出具的属于监狱企业的证明文件的，监狱企业视同小型、微型企业。</w:t>
            </w:r>
          </w:p>
          <w:p w14:paraId="23AB09C8">
            <w:pPr>
              <w:pStyle w:val="57"/>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财政部、民政部、中国残疾人联合会关于促进残疾人就业政府采购政策的通知》（财库[2017]141号）的规定，提供《残疾人福利性单位声明函》（见附件），并对声明的真实性负责。中标/成交供应商为残疾人福利性单位的，采购人应当随中标/成交结果同时公告其《残疾人福利性单位声明函》，接受社会监督。提供的《残疾人福利性单位声明函》与事实不符的，依照《政府采购法》第七十七条第一款的规定追究法律责任。残疾人福利性单位属于小型、微型企业的，不重复享受政策。</w:t>
            </w:r>
          </w:p>
          <w:p w14:paraId="77B66DBC">
            <w:pPr>
              <w:pStyle w:val="57"/>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残疾人福利性单位视同小型、微型企业，享受预留份额、评审价格扣除等政府采购政策。</w:t>
            </w:r>
          </w:p>
          <w:p w14:paraId="28196B65">
            <w:pPr>
              <w:pStyle w:val="57"/>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国家相关部委针对节能产品、环境标志产品出台了相关调整优化政府采购执行机制，并于近期相继颁布《财政部发展改革委 生态环境部 市场监管总局 关于调整优化节能产品、环境标志产品政府采购执行机制的通知》（财库〔2019〕9 号）、《市场监管总局关于发布参与实施政府采购节能产品、环境标志产品认证机构名录的公告》（市场监管总局 2019 年 4 月 3 日下发）（以下简称“机构名录”）、《关于印发节能产品政府采购品目清单的通知》（财库〔2019〕19 号）（以下简称“节能清单”）、《关于印发环境标志产品政府采购品目清单的通知》（财库〔2019〕18 号）（以下简称“环保清单”）。根据要求，投标产品有中属于“节能清单”中标记“★”产品的，必须提供经过“机构名录”中的认证机构出具的“节能产品认证证书及相关附件”，未提供的按无效投标处理。对于投标产品属于“节能清单”中非标记“★”产品的以及属于“环保清单”产品并经“机构名录”中的认证机构出具相应的产品认证证书的</w:t>
            </w:r>
            <w:r>
              <w:rPr>
                <w:rFonts w:hint="eastAsia" w:cs="宋体"/>
                <w:color w:val="auto"/>
                <w:sz w:val="22"/>
                <w:szCs w:val="22"/>
                <w:highlight w:val="none"/>
                <w:lang w:val="en-US" w:eastAsia="zh-CN"/>
              </w:rPr>
              <w:t>给予优先</w:t>
            </w:r>
            <w:r>
              <w:rPr>
                <w:rFonts w:hint="eastAsia" w:ascii="宋体" w:hAnsi="宋体" w:eastAsia="宋体" w:cs="宋体"/>
                <w:color w:val="auto"/>
                <w:sz w:val="22"/>
                <w:szCs w:val="22"/>
                <w:highlight w:val="none"/>
                <w:lang w:val="en-US" w:eastAsia="zh-CN"/>
              </w:rPr>
              <w:t>采购体现。采购人采购产品属于节能产品或环境标志产品品目清单范围内，且供应商（投标人）所投产品具有有效期内的产品认证证书，在评审时予以优先采购。</w:t>
            </w:r>
          </w:p>
          <w:p w14:paraId="1F216ABF">
            <w:pPr>
              <w:pStyle w:val="57"/>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2E01671C">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其它未尽事宜，按国家有关法律、法规执行。</w:t>
            </w:r>
          </w:p>
        </w:tc>
      </w:tr>
      <w:tr w14:paraId="64C35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71" w:type="dxa"/>
            <w:gridSpan w:val="3"/>
            <w:vAlign w:val="center"/>
          </w:tcPr>
          <w:p w14:paraId="6635BDCF">
            <w:pPr>
              <w:pStyle w:val="57"/>
              <w:spacing w:line="360" w:lineRule="auto"/>
              <w:ind w:left="110" w:leftChars="50"/>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构成竞争性磋商文件的其他材料：除竞争性磋商文件外，采购人在采购期间发出的澄清、修改、补充、补遗和其他有效正式函件等内容均是竞争性磋商文件的组成部分。</w:t>
            </w:r>
          </w:p>
        </w:tc>
      </w:tr>
      <w:tr w14:paraId="0B00D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71" w:type="dxa"/>
            <w:gridSpan w:val="3"/>
            <w:vAlign w:val="center"/>
          </w:tcPr>
          <w:p w14:paraId="1DDD1DB6">
            <w:pPr>
              <w:pStyle w:val="57"/>
              <w:spacing w:line="360" w:lineRule="auto"/>
              <w:ind w:left="110" w:leftChars="50"/>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成交方式：评审结果确定后，如第一名成交候选</w:t>
            </w:r>
            <w:r>
              <w:rPr>
                <w:rFonts w:hint="eastAsia" w:ascii="宋体" w:hAnsi="宋体" w:eastAsia="宋体" w:cs="宋体"/>
                <w:color w:val="auto"/>
                <w:spacing w:val="-2"/>
                <w:sz w:val="22"/>
                <w:szCs w:val="22"/>
                <w:highlight w:val="none"/>
                <w:lang w:val="en-US" w:eastAsia="zh-CN"/>
              </w:rPr>
              <w:t>供应商</w:t>
            </w:r>
            <w:r>
              <w:rPr>
                <w:rFonts w:hint="eastAsia" w:ascii="宋体" w:hAnsi="宋体" w:eastAsia="宋体" w:cs="宋体"/>
                <w:color w:val="auto"/>
                <w:spacing w:val="-2"/>
                <w:sz w:val="22"/>
                <w:szCs w:val="22"/>
                <w:highlight w:val="none"/>
                <w:lang w:eastAsia="zh-CN"/>
              </w:rPr>
              <w:t>放弃成交资格或无法履行采购内容，采购人可向相关监督部门请示批准后，决定重新采购</w:t>
            </w:r>
            <w:r>
              <w:rPr>
                <w:rFonts w:hint="eastAsia" w:cs="宋体"/>
                <w:color w:val="auto"/>
                <w:spacing w:val="-2"/>
                <w:sz w:val="22"/>
                <w:szCs w:val="22"/>
                <w:highlight w:val="none"/>
                <w:lang w:eastAsia="zh-CN"/>
              </w:rPr>
              <w:t>或</w:t>
            </w:r>
            <w:r>
              <w:rPr>
                <w:rFonts w:hint="eastAsia" w:ascii="宋体" w:hAnsi="宋体" w:eastAsia="宋体" w:cs="宋体"/>
                <w:color w:val="auto"/>
                <w:spacing w:val="-2"/>
                <w:sz w:val="22"/>
                <w:szCs w:val="22"/>
                <w:highlight w:val="none"/>
                <w:lang w:eastAsia="zh-CN"/>
              </w:rPr>
              <w:t>另行确定成交</w:t>
            </w:r>
            <w:r>
              <w:rPr>
                <w:rFonts w:hint="eastAsia" w:ascii="宋体" w:hAnsi="宋体" w:eastAsia="宋体" w:cs="宋体"/>
                <w:color w:val="auto"/>
                <w:spacing w:val="-2"/>
                <w:sz w:val="22"/>
                <w:szCs w:val="22"/>
                <w:highlight w:val="none"/>
                <w:lang w:val="en-US" w:eastAsia="zh-CN"/>
              </w:rPr>
              <w:t>供应商</w:t>
            </w:r>
            <w:r>
              <w:rPr>
                <w:rFonts w:hint="eastAsia" w:ascii="宋体" w:hAnsi="宋体" w:eastAsia="宋体" w:cs="宋体"/>
                <w:color w:val="auto"/>
                <w:spacing w:val="-2"/>
                <w:sz w:val="22"/>
                <w:szCs w:val="22"/>
                <w:highlight w:val="none"/>
                <w:lang w:eastAsia="zh-CN"/>
              </w:rPr>
              <w:t>。</w:t>
            </w:r>
          </w:p>
        </w:tc>
      </w:tr>
      <w:tr w14:paraId="5EAFC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71" w:type="dxa"/>
            <w:gridSpan w:val="3"/>
            <w:vAlign w:val="center"/>
          </w:tcPr>
          <w:p w14:paraId="77FB9CC9">
            <w:pPr>
              <w:pStyle w:val="57"/>
              <w:spacing w:line="360" w:lineRule="auto"/>
              <w:ind w:left="110" w:leftChars="5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磋商时对供应商的要求：本项目采用“远程不见面”磋商方式，远程磋商大厅网址为http://hnsggzyjy.henan.gov.cn/BidOpening/bidopeninghallaction/hall/login，供应商无需到河南省公共资源交易中心现场参加磋商会议，供应商应当在响应文件提交的截止时间前，登录远程磋商大厅，在线准时参加磋商活动并进行文件解密、答疑澄清</w:t>
            </w:r>
            <w:r>
              <w:rPr>
                <w:rFonts w:hint="eastAsia" w:ascii="宋体" w:hAnsi="宋体" w:eastAsia="宋体" w:cs="宋体"/>
                <w:color w:val="auto"/>
                <w:spacing w:val="-2"/>
                <w:sz w:val="22"/>
                <w:szCs w:val="22"/>
                <w:highlight w:val="none"/>
                <w:lang w:eastAsia="zh-CN"/>
              </w:rPr>
              <w:t>、最终报价</w:t>
            </w:r>
            <w:r>
              <w:rPr>
                <w:rFonts w:hint="eastAsia" w:ascii="宋体" w:hAnsi="宋体" w:eastAsia="宋体" w:cs="宋体"/>
                <w:color w:val="auto"/>
                <w:spacing w:val="-2"/>
                <w:sz w:val="22"/>
                <w:szCs w:val="22"/>
                <w:highlight w:val="none"/>
              </w:rPr>
              <w:t>等（请各位供应商注意，系统中给各位供应商的解密时间为30</w:t>
            </w:r>
            <w:r>
              <w:rPr>
                <w:rFonts w:hint="eastAsia" w:ascii="宋体" w:hAnsi="宋体" w:eastAsia="宋体" w:cs="宋体"/>
                <w:color w:val="auto"/>
                <w:spacing w:val="-2"/>
                <w:sz w:val="22"/>
                <w:szCs w:val="22"/>
                <w:highlight w:val="none"/>
                <w:lang w:eastAsia="zh-CN"/>
              </w:rPr>
              <w:t>分</w:t>
            </w:r>
            <w:r>
              <w:rPr>
                <w:rFonts w:hint="eastAsia" w:ascii="宋体" w:hAnsi="宋体" w:eastAsia="宋体" w:cs="宋体"/>
                <w:color w:val="auto"/>
                <w:spacing w:val="-2"/>
                <w:sz w:val="22"/>
                <w:szCs w:val="22"/>
                <w:highlight w:val="none"/>
              </w:rPr>
              <w:t>钟）。</w:t>
            </w:r>
          </w:p>
        </w:tc>
      </w:tr>
      <w:tr w14:paraId="41045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71" w:type="dxa"/>
            <w:gridSpan w:val="3"/>
            <w:vAlign w:val="center"/>
          </w:tcPr>
          <w:p w14:paraId="6BF552B0">
            <w:pPr>
              <w:pStyle w:val="57"/>
              <w:spacing w:line="360" w:lineRule="auto"/>
              <w:ind w:left="110" w:leftChars="50"/>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其它未尽事宜，按国家有关法律、法规执行。竞争性磋商文件的最终解释权归采购人</w:t>
            </w:r>
          </w:p>
        </w:tc>
      </w:tr>
    </w:tbl>
    <w:p w14:paraId="4C12E383">
      <w:pPr>
        <w:pStyle w:val="11"/>
        <w:spacing w:line="360" w:lineRule="auto"/>
        <w:rPr>
          <w:rFonts w:hint="eastAsia" w:ascii="宋体" w:hAnsi="宋体" w:eastAsia="宋体" w:cs="宋体"/>
          <w:color w:val="auto"/>
          <w:sz w:val="22"/>
          <w:szCs w:val="22"/>
          <w:highlight w:val="none"/>
          <w:lang w:eastAsia="zh-CN"/>
        </w:rPr>
      </w:pPr>
      <w:bookmarkStart w:id="28" w:name="1._总则_"/>
      <w:bookmarkEnd w:id="28"/>
    </w:p>
    <w:p w14:paraId="6F27F547">
      <w:pPr>
        <w:pStyle w:val="11"/>
        <w:spacing w:before="2" w:line="360" w:lineRule="auto"/>
        <w:rPr>
          <w:rFonts w:hint="eastAsia" w:ascii="宋体" w:hAnsi="宋体" w:eastAsia="宋体" w:cs="宋体"/>
          <w:color w:val="auto"/>
          <w:sz w:val="22"/>
          <w:szCs w:val="22"/>
          <w:highlight w:val="none"/>
          <w:lang w:eastAsia="zh-CN"/>
        </w:rPr>
      </w:pPr>
    </w:p>
    <w:p w14:paraId="33729346">
      <w:pPr>
        <w:spacing w:line="360" w:lineRule="auto"/>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br w:type="page"/>
      </w:r>
    </w:p>
    <w:p w14:paraId="44BBFC48">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29" w:name="_Toc31380"/>
      <w:bookmarkStart w:id="30" w:name="_Toc31512"/>
      <w:r>
        <w:rPr>
          <w:rFonts w:hint="eastAsia" w:ascii="宋体" w:hAnsi="宋体" w:eastAsia="宋体" w:cs="宋体"/>
          <w:b/>
          <w:bCs/>
          <w:color w:val="auto"/>
          <w:sz w:val="22"/>
          <w:szCs w:val="22"/>
          <w:highlight w:val="none"/>
          <w:lang w:eastAsia="zh-CN"/>
        </w:rPr>
        <w:t>1.总则</w:t>
      </w:r>
      <w:bookmarkEnd w:id="29"/>
      <w:bookmarkEnd w:id="30"/>
    </w:p>
    <w:p w14:paraId="5231ADAE">
      <w:pPr>
        <w:keepNext w:val="0"/>
        <w:keepLines w:val="0"/>
        <w:pageBreakBefore w:val="0"/>
        <w:widowControl w:val="0"/>
        <w:kinsoku/>
        <w:wordWrap/>
        <w:overflowPunct/>
        <w:topLinePunct w:val="0"/>
        <w:autoSpaceDE w:val="0"/>
        <w:autoSpaceDN w:val="0"/>
        <w:bidi w:val="0"/>
        <w:adjustRightInd/>
        <w:snapToGrid/>
        <w:spacing w:line="360" w:lineRule="auto"/>
        <w:ind w:firstLine="474"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pacing w:val="8"/>
          <w:w w:val="100"/>
          <w:kern w:val="0"/>
          <w:sz w:val="22"/>
          <w:szCs w:val="22"/>
          <w:highlight w:val="none"/>
          <w:fitText w:val="1260" w:id="1279137566"/>
          <w:lang w:eastAsia="zh-CN"/>
        </w:rPr>
        <w:t>1.1项目概</w:t>
      </w:r>
      <w:r>
        <w:rPr>
          <w:rFonts w:hint="eastAsia" w:ascii="宋体" w:hAnsi="宋体" w:eastAsia="宋体" w:cs="宋体"/>
          <w:b/>
          <w:bCs/>
          <w:color w:val="auto"/>
          <w:spacing w:val="2"/>
          <w:w w:val="100"/>
          <w:kern w:val="0"/>
          <w:sz w:val="22"/>
          <w:szCs w:val="22"/>
          <w:highlight w:val="none"/>
          <w:fitText w:val="1260" w:id="1279137566"/>
          <w:lang w:eastAsia="zh-CN"/>
        </w:rPr>
        <w:t>况</w:t>
      </w:r>
    </w:p>
    <w:p w14:paraId="77325CB0">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1.1.1根据《中华人民共和国政府采购法》《中华人民共和国政府采购法实施条例》《政府采购竞争性磋商采购方式暂行办法</w:t>
      </w:r>
      <w:r>
        <w:rPr>
          <w:rFonts w:hint="eastAsia" w:cs="宋体"/>
          <w:color w:val="auto"/>
          <w:sz w:val="22"/>
          <w:szCs w:val="22"/>
          <w:highlight w:val="none"/>
          <w:lang w:eastAsia="zh-CN"/>
        </w:rPr>
        <w:t>》等</w:t>
      </w:r>
      <w:r>
        <w:rPr>
          <w:rFonts w:hint="eastAsia" w:ascii="宋体" w:hAnsi="宋体" w:eastAsia="宋体" w:cs="宋体"/>
          <w:color w:val="auto"/>
          <w:sz w:val="22"/>
          <w:szCs w:val="22"/>
          <w:highlight w:val="none"/>
          <w:lang w:eastAsia="zh-CN"/>
        </w:rPr>
        <w:t>有关法律、法规和规章的规定，本项目已具备磋商条件，现对本项目进行磋商。</w:t>
      </w:r>
    </w:p>
    <w:p w14:paraId="43346819">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1.1.2本项目采购人：见供应商须知前附表。</w:t>
      </w:r>
    </w:p>
    <w:p w14:paraId="619F280B">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1.1.3本项目采购代理机构：见供应商须知前附表。</w:t>
      </w:r>
    </w:p>
    <w:p w14:paraId="3F60750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1.1.4项目名称及项目所属行业：见供应商须知前附表。</w:t>
      </w:r>
    </w:p>
    <w:p w14:paraId="55DEC49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1.1.5项目地点：见供应商须知前附表。</w:t>
      </w:r>
    </w:p>
    <w:p w14:paraId="379915C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1.2资金来源</w:t>
      </w:r>
    </w:p>
    <w:p w14:paraId="124271A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1.2.1本采购项目的资金来源：见供应商须知前附表。</w:t>
      </w:r>
    </w:p>
    <w:p w14:paraId="56FCA04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1.2.2本项目预算金额（最高限价）：见供应商须知前附表。</w:t>
      </w:r>
    </w:p>
    <w:p w14:paraId="4511EC1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1.2.3供应商报价超过磋商文件规定的预算金额或分包最高限价的，其响应文件将被认定为无效响应。</w:t>
      </w:r>
    </w:p>
    <w:p w14:paraId="5F4A4922">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1.3采购内容及分包情况、</w:t>
      </w:r>
      <w:r>
        <w:rPr>
          <w:rFonts w:hint="eastAsia" w:ascii="宋体" w:hAnsi="宋体" w:eastAsia="宋体" w:cs="宋体"/>
          <w:b/>
          <w:bCs/>
          <w:color w:val="auto"/>
          <w:sz w:val="22"/>
          <w:szCs w:val="22"/>
          <w:highlight w:val="none"/>
          <w:lang w:val="en-US" w:eastAsia="zh-CN"/>
        </w:rPr>
        <w:t>监理服务期</w:t>
      </w:r>
      <w:r>
        <w:rPr>
          <w:rFonts w:hint="eastAsia" w:cs="宋体"/>
          <w:b/>
          <w:bCs/>
          <w:color w:val="auto"/>
          <w:sz w:val="22"/>
          <w:szCs w:val="22"/>
          <w:highlight w:val="none"/>
          <w:lang w:val="en-US" w:eastAsia="zh-CN"/>
        </w:rPr>
        <w:t>和</w:t>
      </w:r>
      <w:r>
        <w:rPr>
          <w:rFonts w:hint="eastAsia" w:ascii="宋体" w:hAnsi="宋体" w:eastAsia="宋体" w:cs="宋体"/>
          <w:b/>
          <w:bCs/>
          <w:color w:val="auto"/>
          <w:sz w:val="22"/>
          <w:szCs w:val="22"/>
          <w:highlight w:val="none"/>
          <w:lang w:eastAsia="zh-CN"/>
        </w:rPr>
        <w:t>质量要求</w:t>
      </w:r>
    </w:p>
    <w:p w14:paraId="7933AD3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1.3.1本次采购内容及分包情况：见供应商须知前附表。</w:t>
      </w:r>
    </w:p>
    <w:p w14:paraId="441ECDF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1.3.2本项目的</w:t>
      </w:r>
      <w:r>
        <w:rPr>
          <w:rFonts w:hint="eastAsia" w:cs="宋体"/>
          <w:color w:val="auto"/>
          <w:sz w:val="22"/>
          <w:szCs w:val="22"/>
          <w:highlight w:val="none"/>
          <w:lang w:val="en-US" w:eastAsia="zh-CN"/>
        </w:rPr>
        <w:t>监理服务期</w:t>
      </w:r>
      <w:r>
        <w:rPr>
          <w:rFonts w:hint="eastAsia" w:ascii="宋体" w:hAnsi="宋体" w:eastAsia="宋体" w:cs="宋体"/>
          <w:color w:val="auto"/>
          <w:sz w:val="22"/>
          <w:szCs w:val="22"/>
          <w:highlight w:val="none"/>
          <w:lang w:eastAsia="zh-CN"/>
        </w:rPr>
        <w:t>：见供应商须知前附表。</w:t>
      </w:r>
    </w:p>
    <w:p w14:paraId="4B2D3B6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1.3.3本项目的质量要求：见供应商须知前附表。</w:t>
      </w:r>
    </w:p>
    <w:p w14:paraId="7A2F0EB5">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1.4供应商资格要求</w:t>
      </w:r>
    </w:p>
    <w:p w14:paraId="5DFBC17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1.4.1供应商资格要求：见供应商须知前附表。</w:t>
      </w:r>
    </w:p>
    <w:p w14:paraId="4B67AB29">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1.5费用承担</w:t>
      </w:r>
    </w:p>
    <w:p w14:paraId="0838FCC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供应商准备和参加磋商活动发生的费用自理。</w:t>
      </w:r>
    </w:p>
    <w:p w14:paraId="5AD2957B">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1.6保密</w:t>
      </w:r>
    </w:p>
    <w:p w14:paraId="26900F8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参与磋商活动的各方应对竞争性磋商文件和竞争性磋商响应文件中的商业和技术等秘密保密，违者应对由此造成的后果承担法律责任。</w:t>
      </w:r>
    </w:p>
    <w:p w14:paraId="479572B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采购人向供应商提供的有关项目的基本情况和相关数据，是采购人现有的能使供应商利用的资料。采购人对供应商由此而做出的推论、理解和结论概不负责。</w:t>
      </w:r>
    </w:p>
    <w:p w14:paraId="720466A8">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1.7语言文字</w:t>
      </w:r>
    </w:p>
    <w:p w14:paraId="16497BF5">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1.8除专用术语外，与磋商活动有关的语言均使用中文。必要时专用术语应附有中文注释。</w:t>
      </w:r>
    </w:p>
    <w:p w14:paraId="3DD1AFE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1.9计量单位</w:t>
      </w:r>
    </w:p>
    <w:p w14:paraId="138C1AFF">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所有计量均采用中华人民共和国法定计量单位。</w:t>
      </w:r>
    </w:p>
    <w:p w14:paraId="361219A5">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1.10踏勘现场</w:t>
      </w:r>
    </w:p>
    <w:p w14:paraId="053DEFA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详见供应商须知前附表。</w:t>
      </w:r>
    </w:p>
    <w:p w14:paraId="5E3C68A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1.11分包</w:t>
      </w:r>
    </w:p>
    <w:p w14:paraId="1BA62C4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2"/>
          <w:szCs w:val="22"/>
          <w:highlight w:val="none"/>
          <w:lang w:eastAsia="zh-CN"/>
        </w:rPr>
        <w:t>详见供应商须知前附表</w:t>
      </w:r>
      <w:r>
        <w:rPr>
          <w:rFonts w:hint="eastAsia" w:ascii="宋体" w:hAnsi="宋体" w:eastAsia="宋体" w:cs="宋体"/>
          <w:b/>
          <w:bCs/>
          <w:color w:val="auto"/>
          <w:sz w:val="22"/>
          <w:szCs w:val="22"/>
          <w:highlight w:val="none"/>
          <w:lang w:eastAsia="zh-CN"/>
        </w:rPr>
        <w:t>。</w:t>
      </w:r>
    </w:p>
    <w:p w14:paraId="123F2EC3">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1.12偏离</w:t>
      </w:r>
    </w:p>
    <w:p w14:paraId="03B24CEF">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供应商须知前附表允许响应文件偏离竞争性磋商文件某些要求的，偏离应当符合竞争性磋商文件规定的偏离范围和幅度。</w:t>
      </w:r>
    </w:p>
    <w:p w14:paraId="7AAD5007">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31" w:name="_Toc17164"/>
      <w:bookmarkStart w:id="32" w:name="_Toc17882"/>
      <w:r>
        <w:rPr>
          <w:rFonts w:hint="eastAsia" w:ascii="宋体" w:hAnsi="宋体" w:eastAsia="宋体" w:cs="宋体"/>
          <w:b/>
          <w:bCs/>
          <w:color w:val="auto"/>
          <w:sz w:val="22"/>
          <w:szCs w:val="22"/>
          <w:highlight w:val="none"/>
          <w:lang w:eastAsia="zh-CN"/>
        </w:rPr>
        <w:t>2</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lang w:eastAsia="zh-CN"/>
        </w:rPr>
        <w:t>磋商文件</w:t>
      </w:r>
      <w:bookmarkEnd w:id="31"/>
      <w:bookmarkEnd w:id="32"/>
    </w:p>
    <w:p w14:paraId="23D89F6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2.1.磋商文件构成</w:t>
      </w:r>
    </w:p>
    <w:p w14:paraId="77933E1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2.1.1磋商文件共六章，内容如下</w:t>
      </w:r>
      <w:r>
        <w:rPr>
          <w:rFonts w:hint="eastAsia" w:cs="宋体"/>
          <w:color w:val="auto"/>
          <w:sz w:val="22"/>
          <w:szCs w:val="22"/>
          <w:highlight w:val="none"/>
          <w:lang w:eastAsia="zh-CN"/>
        </w:rPr>
        <w:t>：</w:t>
      </w:r>
    </w:p>
    <w:p w14:paraId="3D0553E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第一章 竞争性磋商公告</w:t>
      </w:r>
    </w:p>
    <w:p w14:paraId="4DED327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第二章 供应商须知</w:t>
      </w:r>
    </w:p>
    <w:p w14:paraId="153EA58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第三章 评审办法（</w:t>
      </w:r>
      <w:r>
        <w:rPr>
          <w:rFonts w:hint="eastAsia" w:ascii="宋体" w:hAnsi="宋体" w:eastAsia="宋体" w:cs="宋体"/>
          <w:color w:val="auto"/>
          <w:sz w:val="22"/>
          <w:szCs w:val="22"/>
          <w:highlight w:val="none"/>
          <w:lang w:val="en-US" w:eastAsia="zh-CN"/>
        </w:rPr>
        <w:t>综合评分法</w:t>
      </w:r>
      <w:r>
        <w:rPr>
          <w:rFonts w:hint="eastAsia" w:ascii="宋体" w:hAnsi="宋体" w:eastAsia="宋体" w:cs="宋体"/>
          <w:color w:val="auto"/>
          <w:sz w:val="22"/>
          <w:szCs w:val="22"/>
          <w:highlight w:val="none"/>
          <w:lang w:eastAsia="zh-CN"/>
        </w:rPr>
        <w:t>）</w:t>
      </w:r>
    </w:p>
    <w:p w14:paraId="76D4104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第四章 合同条款及格式</w:t>
      </w:r>
    </w:p>
    <w:p w14:paraId="245F630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 xml:space="preserve">第五章 </w:t>
      </w:r>
      <w:r>
        <w:rPr>
          <w:rFonts w:hint="eastAsia" w:ascii="宋体" w:hAnsi="宋体" w:eastAsia="宋体" w:cs="宋体"/>
          <w:color w:val="auto"/>
          <w:sz w:val="22"/>
          <w:szCs w:val="22"/>
          <w:highlight w:val="none"/>
          <w:lang w:val="en-US" w:eastAsia="zh-CN"/>
        </w:rPr>
        <w:t>技术标准和要求</w:t>
      </w:r>
    </w:p>
    <w:p w14:paraId="7FB2D3E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第六章 响应文件格式</w:t>
      </w:r>
    </w:p>
    <w:p w14:paraId="6725F84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2.1.2供应商应认真阅读磋商文件所有的事项、格式、条款等。如供应商没有按照磋商文件要求提交资料，或者响应文件没有对磋商文件做出实质性响应，可能导致其响应文件被认定为无效响应。</w:t>
      </w:r>
    </w:p>
    <w:p w14:paraId="66F37AFF">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2.2.磋商文件的澄清与修改</w:t>
      </w:r>
    </w:p>
    <w:p w14:paraId="1F686CB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2.2.1供应商对竞争性磋商文件如有需要澄清或疑问，应及时在“河南省公共资源交易中心（</w:t>
      </w:r>
      <w:r>
        <w:rPr>
          <w:rFonts w:hint="eastAsia" w:cs="宋体"/>
          <w:color w:val="auto"/>
          <w:sz w:val="22"/>
          <w:szCs w:val="22"/>
          <w:highlight w:val="none"/>
          <w:lang w:eastAsia="zh-CN"/>
        </w:rPr>
        <w:t>http://hnsggzyjy.henan.gov.cn</w:t>
      </w:r>
      <w:r>
        <w:rPr>
          <w:rFonts w:hint="eastAsia" w:ascii="宋体" w:hAnsi="宋体" w:eastAsia="宋体" w:cs="宋体"/>
          <w:color w:val="auto"/>
          <w:sz w:val="22"/>
          <w:szCs w:val="22"/>
          <w:highlight w:val="none"/>
          <w:lang w:eastAsia="zh-CN"/>
        </w:rPr>
        <w:t>）”电子交易平台进行提问，要求采购人对竞争性磋商文件予以澄清。供应商</w:t>
      </w:r>
      <w:r>
        <w:rPr>
          <w:rFonts w:hint="eastAsia" w:ascii="宋体" w:hAnsi="宋体" w:eastAsia="宋体" w:cs="宋体"/>
          <w:color w:val="auto"/>
          <w:sz w:val="22"/>
          <w:szCs w:val="22"/>
          <w:highlight w:val="none"/>
          <w:lang w:val="en-US" w:eastAsia="zh-CN"/>
        </w:rPr>
        <w:t>未对</w:t>
      </w:r>
      <w:r>
        <w:rPr>
          <w:rFonts w:hint="eastAsia" w:ascii="宋体" w:hAnsi="宋体" w:eastAsia="宋体" w:cs="宋体"/>
          <w:color w:val="auto"/>
          <w:sz w:val="22"/>
          <w:szCs w:val="22"/>
          <w:highlight w:val="none"/>
          <w:lang w:eastAsia="zh-CN"/>
        </w:rPr>
        <w:t>竞争性磋商文件澄清或提出疑问的，采购人和采购代理机构将视其为无异议，磋商响应文件递交截止时间后，采购人和采购代理机构不接受其对竞争性磋商文件内容的质疑。</w:t>
      </w:r>
    </w:p>
    <w:p w14:paraId="263C7F5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2.2.2采购人、采购代理机构可以对已发出的磋商文件进行必要的澄清或者修改。澄清或者修改的内容可能影响响应文件编制的，应当在递交首次响应文件截止时间至少5日前，在“河南省公共资源交易中心（</w:t>
      </w:r>
      <w:r>
        <w:rPr>
          <w:rFonts w:hint="eastAsia" w:cs="宋体"/>
          <w:color w:val="auto"/>
          <w:sz w:val="22"/>
          <w:szCs w:val="22"/>
          <w:highlight w:val="none"/>
          <w:lang w:eastAsia="zh-CN"/>
        </w:rPr>
        <w:t>http://hnsggzyjy.henan.gov.cn</w:t>
      </w:r>
      <w:r>
        <w:rPr>
          <w:rFonts w:hint="eastAsia" w:ascii="宋体" w:hAnsi="宋体" w:eastAsia="宋体" w:cs="宋体"/>
          <w:color w:val="auto"/>
          <w:sz w:val="22"/>
          <w:szCs w:val="22"/>
          <w:highlight w:val="none"/>
          <w:lang w:eastAsia="zh-CN"/>
        </w:rPr>
        <w:t>）”电子交易平台公布给所有下载竞争性磋商文件的供应商，但不指明澄清问题的来源。如果澄清发出的时间距磋商响应文件递交截止日不足5日的，并且澄清内容影响磋商响应文件编制的，应当顺延首次递交响应文件截止时间及磋商开启时间。</w:t>
      </w:r>
    </w:p>
    <w:p w14:paraId="65C99BF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2.2.3澄清或者修改的内容为磋商文件的组成部分，澄清内容一经在项目公告网站和电子交易平台发布，视作已送达所有供应商，对所有磋商文件的收受人具有约束力。</w:t>
      </w:r>
    </w:p>
    <w:p w14:paraId="19D185D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2.2.4因河南省公共资源交易中心（</w:t>
      </w:r>
      <w:r>
        <w:rPr>
          <w:rFonts w:hint="eastAsia" w:cs="宋体"/>
          <w:color w:val="auto"/>
          <w:sz w:val="22"/>
          <w:szCs w:val="22"/>
          <w:highlight w:val="none"/>
          <w:lang w:eastAsia="zh-CN"/>
        </w:rPr>
        <w:t>http://hnsggzyjy.henan.gov.cn</w:t>
      </w:r>
      <w:r>
        <w:rPr>
          <w:rFonts w:hint="eastAsia" w:ascii="宋体" w:hAnsi="宋体" w:eastAsia="宋体" w:cs="宋体"/>
          <w:color w:val="auto"/>
          <w:sz w:val="22"/>
          <w:szCs w:val="22"/>
          <w:highlight w:val="none"/>
          <w:lang w:eastAsia="zh-CN"/>
        </w:rPr>
        <w:t>）电子交易平台在磋商响应文件递交截止时间前具有保密性，供应商在磋商响应文件递交截止时间前须自行查看项目进展、下载竞争性磋商文件的澄清或者修改等，因供应商未及时查看和下载而造成的后果自负。</w:t>
      </w:r>
    </w:p>
    <w:p w14:paraId="3B5A05C4">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33" w:name="_Toc12212"/>
      <w:bookmarkStart w:id="34" w:name="_Toc8473"/>
      <w:r>
        <w:rPr>
          <w:rFonts w:hint="eastAsia" w:ascii="宋体" w:hAnsi="宋体" w:eastAsia="宋体" w:cs="宋体"/>
          <w:b/>
          <w:bCs/>
          <w:color w:val="auto"/>
          <w:sz w:val="22"/>
          <w:szCs w:val="22"/>
          <w:highlight w:val="none"/>
          <w:lang w:eastAsia="zh-CN"/>
        </w:rPr>
        <w:t>3</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lang w:eastAsia="zh-CN"/>
        </w:rPr>
        <w:t>响应文件的编制</w:t>
      </w:r>
      <w:bookmarkEnd w:id="33"/>
      <w:bookmarkEnd w:id="34"/>
    </w:p>
    <w:p w14:paraId="157A0E97">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3.1.响应范围</w:t>
      </w:r>
    </w:p>
    <w:p w14:paraId="3F3D07E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3.1.1项目有分包的，供应商可对磋商文件其中某一个分包或几个分包进行响应。</w:t>
      </w:r>
    </w:p>
    <w:p w14:paraId="27CFE85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3.1.2供应商应当对所响应分包磋商文件中</w:t>
      </w:r>
      <w:r>
        <w:rPr>
          <w:rFonts w:hint="eastAsia" w:cs="宋体"/>
          <w:color w:val="auto"/>
          <w:sz w:val="22"/>
          <w:szCs w:val="22"/>
          <w:highlight w:val="none"/>
          <w:lang w:val="en-US" w:eastAsia="zh-CN"/>
        </w:rPr>
        <w:t>工程量清单</w:t>
      </w:r>
      <w:r>
        <w:rPr>
          <w:rFonts w:hint="eastAsia" w:ascii="宋体" w:hAnsi="宋体" w:eastAsia="宋体" w:cs="宋体"/>
          <w:color w:val="auto"/>
          <w:sz w:val="22"/>
          <w:szCs w:val="22"/>
          <w:highlight w:val="none"/>
          <w:lang w:eastAsia="zh-CN"/>
        </w:rPr>
        <w:t>所列的所有内容进行响应，如仅响应分包中某一部分内容，其该包响应文件将被认定为无效响应。</w:t>
      </w:r>
    </w:p>
    <w:p w14:paraId="6EC8DAE9">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3.2.响应文件组成</w:t>
      </w:r>
    </w:p>
    <w:p w14:paraId="55F7E51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3.2.1响应文件的组成：详见第</w:t>
      </w:r>
      <w:r>
        <w:rPr>
          <w:rFonts w:hint="eastAsia" w:cs="宋体"/>
          <w:color w:val="auto"/>
          <w:sz w:val="22"/>
          <w:szCs w:val="22"/>
          <w:highlight w:val="none"/>
          <w:lang w:val="en-US" w:eastAsia="zh-CN"/>
        </w:rPr>
        <w:t>六</w:t>
      </w:r>
      <w:r>
        <w:rPr>
          <w:rFonts w:hint="eastAsia" w:ascii="宋体" w:hAnsi="宋体" w:eastAsia="宋体" w:cs="宋体"/>
          <w:color w:val="auto"/>
          <w:sz w:val="22"/>
          <w:szCs w:val="22"/>
          <w:highlight w:val="none"/>
          <w:lang w:eastAsia="zh-CN"/>
        </w:rPr>
        <w:t>章 响应文件格式。</w:t>
      </w:r>
    </w:p>
    <w:p w14:paraId="1B23181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3.2.2供应商应按磋商文件提供的格式编写响应文件。磋商文件提供标准格式的按标准格式填列，未提供标准格式的可自行拟定。</w:t>
      </w:r>
    </w:p>
    <w:p w14:paraId="067C6D13">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3.3.响应报价</w:t>
      </w:r>
    </w:p>
    <w:p w14:paraId="7ABE33DB">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3.3.1供应商应按“响应文件格式”的要求在报价函中进行报价。</w:t>
      </w:r>
    </w:p>
    <w:p w14:paraId="6D1F146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.2 供应商应充分了解该项目的总体情况以及影响磋商报价的其他要素。</w:t>
      </w:r>
    </w:p>
    <w:p w14:paraId="16D0BC1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.3 供应商在首次响应文件提交截止时间前修改报价函中的磋商报价总额。</w:t>
      </w:r>
    </w:p>
    <w:p w14:paraId="24C8086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.4 采购人设有最高限价（采购预算金额）的，供应商的磋商报价不得超过最高限价（采购预算金额）。</w:t>
      </w:r>
    </w:p>
    <w:p w14:paraId="2695AA7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3.4.磋商有效期</w:t>
      </w:r>
    </w:p>
    <w:p w14:paraId="375A20D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3.4.1响应在供应商须知前附表3.4.1条中规定的磋商有效期内保持有效。磋商有效期不满足要求的响应，其响应文件将被认定为无效响应。</w:t>
      </w:r>
    </w:p>
    <w:p w14:paraId="495E3EA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3.4.2在特殊情况下，采购人或采购代理机构可根据实际情况，在原磋商有效期截止之前，要求供应商延长响应的有效期。接受该要求的供应商将不会被要求和允许修正其响应文件，供应商可以拒绝延长磋商有效期的要求，其磋商失效。上述要求和答复都应以书面形式提交。</w:t>
      </w:r>
    </w:p>
    <w:p w14:paraId="60D03295">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3.5磋商保证金</w:t>
      </w:r>
    </w:p>
    <w:p w14:paraId="2F8B8DBE">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3.5.1按照河南省财政厅豫财购[2019]4号规定，本项目不再向供应商收取保证金。</w:t>
      </w:r>
    </w:p>
    <w:p w14:paraId="560D4F3F">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3.6备选磋商方案</w:t>
      </w:r>
    </w:p>
    <w:p w14:paraId="16017E54">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除供应商须知前附表另有规定外，供应商不得递交备选磋商方案。</w:t>
      </w:r>
    </w:p>
    <w:p w14:paraId="2274632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3.7竞争性磋商响应文件的编制</w:t>
      </w:r>
    </w:p>
    <w:p w14:paraId="5C6ADE29">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竞争性磋商响应文件应按“响应文件格式”进行编写，如有必要，可以增加附页，作为竞争性磋商响应文件的组成部分。其中，竞争性磋商响应文件在满足竞争性磋商文件实质性要求的基础上，可以在竞争性磋商响应文件内容汇总中提出比竞争性磋商文件要求更有利于采购人的承诺。</w:t>
      </w:r>
    </w:p>
    <w:p w14:paraId="7C24140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响应文件应当对磋商文件有关工期、磋商有效期、质量要求等实质性内容作出响应。</w:t>
      </w:r>
    </w:p>
    <w:p w14:paraId="30B0EBC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竞争性磋商响应文件由供应商的法定代表人或其委托代理人签字或盖单位章。委托代理人签字的，竞争性磋商响应文件应附法定代表人签署的授权委托书。签字或盖章的具体要求见供应商须知前附表。</w:t>
      </w:r>
    </w:p>
    <w:p w14:paraId="30FE5E91">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color w:val="auto"/>
          <w:sz w:val="22"/>
          <w:szCs w:val="22"/>
          <w:highlight w:val="none"/>
          <w:lang w:eastAsia="zh-CN"/>
        </w:rPr>
      </w:pPr>
      <w:bookmarkStart w:id="35" w:name="_Toc24441"/>
      <w:bookmarkStart w:id="36" w:name="_Toc31873"/>
      <w:r>
        <w:rPr>
          <w:rFonts w:hint="eastAsia" w:ascii="宋体" w:hAnsi="宋体" w:eastAsia="宋体" w:cs="宋体"/>
          <w:b/>
          <w:bCs/>
          <w:color w:val="auto"/>
          <w:sz w:val="22"/>
          <w:szCs w:val="22"/>
          <w:highlight w:val="none"/>
          <w:lang w:eastAsia="zh-CN"/>
        </w:rPr>
        <w:t>4</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lang w:eastAsia="zh-CN"/>
        </w:rPr>
        <w:t>响应文件的递交</w:t>
      </w:r>
      <w:bookmarkEnd w:id="35"/>
      <w:bookmarkEnd w:id="36"/>
    </w:p>
    <w:p w14:paraId="0858C4EC">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4.1响应文件的递交</w:t>
      </w:r>
    </w:p>
    <w:p w14:paraId="5CF829C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4.1.1响应文件上传/递交截止时间及地点：见供应商须知前附表。</w:t>
      </w:r>
    </w:p>
    <w:p w14:paraId="3C8BEBDE">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4.1.2磋商响应文件的递交：供应商应在不迟于“供应商须知前附表”中规定的截止时间前将竞争性磋商响应文件加密上传至河南省公共资源交易中心（</w:t>
      </w:r>
      <w:r>
        <w:rPr>
          <w:rFonts w:hint="eastAsia" w:cs="宋体"/>
          <w:color w:val="auto"/>
          <w:sz w:val="22"/>
          <w:szCs w:val="22"/>
          <w:highlight w:val="none"/>
          <w:lang w:eastAsia="zh-CN"/>
        </w:rPr>
        <w:t>http://hnsggzyjy.henan.gov.cn</w:t>
      </w:r>
      <w:r>
        <w:rPr>
          <w:rFonts w:hint="eastAsia" w:ascii="宋体" w:hAnsi="宋体" w:eastAsia="宋体" w:cs="宋体"/>
          <w:color w:val="auto"/>
          <w:sz w:val="22"/>
          <w:szCs w:val="22"/>
          <w:highlight w:val="none"/>
          <w:lang w:eastAsia="zh-CN"/>
        </w:rPr>
        <w:t>）平台，并在系统规定的时间内使用CA数字证书进行远程解密。迟交的电子响应文件将不被接收。</w:t>
      </w:r>
    </w:p>
    <w:p w14:paraId="0C34E07A">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4.2响应文件的修改与撤回</w:t>
      </w:r>
    </w:p>
    <w:p w14:paraId="6CDA10FE">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4.1.3供应商在递交磋商响应文件后，可以在规定的磋商时间开始前修改或撤回其磋商响应文件。</w:t>
      </w:r>
    </w:p>
    <w:p w14:paraId="1793D88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4.1.4供应商在响应性文件接收截止时间后不得修改、撤回响应性文件。供应商在响应性文件接收截止时间后修改响应性文件的，将被拒绝。</w:t>
      </w:r>
    </w:p>
    <w:p w14:paraId="0A97D9E6">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37" w:name="_Toc30162"/>
      <w:bookmarkStart w:id="38" w:name="_Toc25890"/>
      <w:r>
        <w:rPr>
          <w:rFonts w:hint="eastAsia" w:ascii="宋体" w:hAnsi="宋体" w:eastAsia="宋体" w:cs="宋体"/>
          <w:b/>
          <w:bCs/>
          <w:color w:val="auto"/>
          <w:sz w:val="22"/>
          <w:szCs w:val="22"/>
          <w:highlight w:val="none"/>
          <w:lang w:eastAsia="zh-CN"/>
        </w:rPr>
        <w:t>5. 磋商会议</w:t>
      </w:r>
      <w:bookmarkEnd w:id="37"/>
      <w:bookmarkEnd w:id="38"/>
    </w:p>
    <w:p w14:paraId="63106092">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5.1磋商会议时间及地点</w:t>
      </w:r>
    </w:p>
    <w:p w14:paraId="0E9D1CCB">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采购人和采购代理机构将按供应商须知前附表5.1条中规定的时间和地点组织磋商会议并邀请所有供应商代表在线参加。</w:t>
      </w:r>
    </w:p>
    <w:p w14:paraId="66895114">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供应商不足3家的，不得继续磋商。</w:t>
      </w:r>
    </w:p>
    <w:p w14:paraId="39F87A2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5.2磋商会议程序</w:t>
      </w:r>
    </w:p>
    <w:p w14:paraId="0D5EAD1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（1）提交首次响应文件截止，宣布磋商会议开始；</w:t>
      </w:r>
    </w:p>
    <w:p w14:paraId="3368883E">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（2）响应人对响应文件进行解密(响应人应在规定的时间内携带CA锁进行解密，未在规定的时间内进行解密的，磋商无效)；</w:t>
      </w:r>
    </w:p>
    <w:p w14:paraId="1EF38DC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（3）代理机构进行解密，会议结束。</w:t>
      </w:r>
    </w:p>
    <w:p w14:paraId="68AFEB50">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5.3会议异议</w:t>
      </w:r>
    </w:p>
    <w:p w14:paraId="2CB586A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供应商代表对磋商会议过程有异议，以及认为采购人、采购代理机构相关工作人员有需要回避的情形的，应当场提出询问或者回避申请。</w:t>
      </w:r>
    </w:p>
    <w:p w14:paraId="7EFD0E0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温馨提示：请各供应商认真学习河南省公共资源交易中心网站“办事指南”专区的《新交易平台使用手册（培训资料）》</w:t>
      </w:r>
    </w:p>
    <w:p w14:paraId="30A87DA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注：在磋商、评审过程中，若出现异常情况导致无法正常采用电子磋商时，如出现网络中断、服务器发生故障或停电等其它不可抗力情形，导致电子交易系统无法正常运行的，应由采购人、采购代理机构视情况提出解决方案，及时通报监管部门和交易中心研究处理。</w:t>
      </w:r>
    </w:p>
    <w:p w14:paraId="280965C8">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39" w:name="_Toc15979"/>
      <w:bookmarkStart w:id="40" w:name="_Toc25270"/>
      <w:r>
        <w:rPr>
          <w:rFonts w:hint="eastAsia" w:ascii="宋体" w:hAnsi="宋体" w:eastAsia="宋体" w:cs="宋体"/>
          <w:b/>
          <w:bCs/>
          <w:color w:val="auto"/>
          <w:sz w:val="22"/>
          <w:szCs w:val="22"/>
          <w:highlight w:val="none"/>
          <w:lang w:eastAsia="zh-CN"/>
        </w:rPr>
        <w:t>6.评审会议</w:t>
      </w:r>
      <w:bookmarkEnd w:id="39"/>
      <w:bookmarkEnd w:id="40"/>
    </w:p>
    <w:p w14:paraId="5114E70E">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eastAsia="zh-CN"/>
        </w:rPr>
        <w:t>6.1.组建磋商小组</w:t>
      </w:r>
    </w:p>
    <w:p w14:paraId="1CE9F734">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6.1.1按照《政府采购竞争性磋商采购方式暂行办法》有关规定依法组建磋商小组，负责本项目评审工作。磋商小组由采购人代表和评审专家共3人以上单数组成。达到公开招标数额的项目，磋商小组应该由5人以上单数组成。本项目磋商小组组成详见供应商须知前附表6.1.1条。</w:t>
      </w:r>
    </w:p>
    <w:p w14:paraId="5FA89EE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6.1.2磋商小组成员有下列情形之一的，应当回避：</w:t>
      </w:r>
    </w:p>
    <w:p w14:paraId="3A4974D9">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（1）供应商或供应商主要负责人的近亲属；</w:t>
      </w:r>
    </w:p>
    <w:p w14:paraId="32CE890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（2）项目主管部门或者行政监督部门的人员；</w:t>
      </w:r>
    </w:p>
    <w:p w14:paraId="233AB1E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（3）与供应商有经济利益关系，可能影响对磋商公正评审的；</w:t>
      </w:r>
    </w:p>
    <w:p w14:paraId="7B1D3FA9">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（4）曾因在磋商、评审以及有关活动中从事违法行为而受过行政处罚或刑事处罚的；</w:t>
      </w:r>
    </w:p>
    <w:p w14:paraId="6C6D3051">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（5）与供应商有其他利害关系。</w:t>
      </w:r>
    </w:p>
    <w:p w14:paraId="0156AF2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6.1.3评审过程中，磋商小组成员有回避事由、擅离职守或者因健康等原因不能继续评审的，采购人有权更换。被更换的磋商小组成员作出的评审结论无效，由更换后的磋商小组成员重新进行评审。</w:t>
      </w:r>
    </w:p>
    <w:p w14:paraId="4DCF9DB1">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6.2评审原则</w:t>
      </w:r>
    </w:p>
    <w:p w14:paraId="27B2EAA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评审活动遵循客观、公正、审慎的原则。</w:t>
      </w:r>
    </w:p>
    <w:p w14:paraId="162D1A55">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6.3评审</w:t>
      </w:r>
    </w:p>
    <w:p w14:paraId="5474C74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6.3.1磋商小组按照第三章“评审办法”规定的方法、评审因素、标准和程序对响应文件进行评审。第三章“评审办法”没有规定的方法、评审因素和标准，不作为评审依据。</w:t>
      </w:r>
    </w:p>
    <w:p w14:paraId="0F241C71">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6.3.2评审完成后，磋商小组应当向采购人提交书面评审报告和成交候选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名单。磋商小组推荐成交候选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lang w:val="en-US" w:eastAsia="zh-CN"/>
        </w:rPr>
        <w:t>数量</w:t>
      </w:r>
      <w:r>
        <w:rPr>
          <w:rFonts w:hint="eastAsia" w:ascii="宋体" w:hAnsi="宋体" w:eastAsia="宋体" w:cs="宋体"/>
          <w:color w:val="auto"/>
          <w:sz w:val="22"/>
          <w:szCs w:val="22"/>
          <w:highlight w:val="none"/>
          <w:lang w:eastAsia="zh-CN"/>
        </w:rPr>
        <w:t>见供应商须知前附表。</w:t>
      </w:r>
    </w:p>
    <w:p w14:paraId="26E23702">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41" w:name="_Toc24370"/>
      <w:bookmarkStart w:id="42" w:name="_Toc14381"/>
      <w:r>
        <w:rPr>
          <w:rFonts w:hint="eastAsia" w:ascii="宋体" w:hAnsi="宋体" w:eastAsia="宋体" w:cs="宋体"/>
          <w:b/>
          <w:bCs/>
          <w:color w:val="auto"/>
          <w:sz w:val="22"/>
          <w:szCs w:val="22"/>
          <w:highlight w:val="none"/>
          <w:lang w:eastAsia="zh-CN"/>
        </w:rPr>
        <w:t>7. 确定成交</w:t>
      </w:r>
      <w:bookmarkEnd w:id="41"/>
      <w:bookmarkEnd w:id="42"/>
    </w:p>
    <w:p w14:paraId="17AEBCC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确定成交供应商</w:t>
      </w:r>
    </w:p>
    <w:p w14:paraId="3174628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除供应商须知前附表规定磋商小组直接确定成交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外，采购人在收到评审报告5个工作日内，采购人依据磋商小组推荐的成交候选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确定成交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，磋商小组推荐成交候选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lang w:val="en-US" w:eastAsia="zh-CN"/>
        </w:rPr>
        <w:t>数量</w:t>
      </w:r>
      <w:r>
        <w:rPr>
          <w:rFonts w:hint="eastAsia" w:ascii="宋体" w:hAnsi="宋体" w:eastAsia="宋体" w:cs="宋体"/>
          <w:color w:val="auto"/>
          <w:sz w:val="22"/>
          <w:szCs w:val="22"/>
          <w:highlight w:val="none"/>
          <w:lang w:eastAsia="zh-CN"/>
        </w:rPr>
        <w:t>见供应商须知前附表。采购人将依序确定排名靠前的供应商为成交候选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，若排名在前的成交候选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放弃成交、因不可抗力不能履行合同，或者被查实存在影响成交结果的违法行为等情形，不符合成交条件的，采购人可以按照磋商小组提出的成交候选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名单排序依次确定其他成交候选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为成交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，也可以重新磋商。</w:t>
      </w:r>
    </w:p>
    <w:p w14:paraId="76934D63">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7.1采购任务取消</w:t>
      </w:r>
    </w:p>
    <w:p w14:paraId="3402ACF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因重大变故采购任务取消时，采购人有权拒绝任何供应商成交，且对受影响的供应商不承担任何责任。</w:t>
      </w:r>
    </w:p>
    <w:p w14:paraId="2A7927BB">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7.2成交通知</w:t>
      </w:r>
    </w:p>
    <w:p w14:paraId="3A6FF04E">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7.2.1采购人或者采购代理机构应当在成交供应商确定之日起2个工作日内，发布公告同一媒体上公告成交结果，同时向成交供应商发出成交通知书。</w:t>
      </w:r>
    </w:p>
    <w:p w14:paraId="0567292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7.2.2成交通知书是合同的组成部分。</w:t>
      </w:r>
    </w:p>
    <w:p w14:paraId="4A917578">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7.</w:t>
      </w: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lang w:eastAsia="zh-CN"/>
        </w:rPr>
        <w:t>履约担保</w:t>
      </w:r>
    </w:p>
    <w:p w14:paraId="14DF225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cs="宋体"/>
          <w:color w:val="auto"/>
          <w:sz w:val="22"/>
          <w:szCs w:val="22"/>
          <w:highlight w:val="none"/>
          <w:lang w:val="en-US" w:eastAsia="zh-CN"/>
        </w:rPr>
      </w:pPr>
      <w:r>
        <w:rPr>
          <w:rFonts w:hint="eastAsia" w:cs="宋体"/>
          <w:color w:val="auto"/>
          <w:sz w:val="22"/>
          <w:szCs w:val="22"/>
          <w:highlight w:val="none"/>
          <w:lang w:val="en-US" w:eastAsia="zh-CN"/>
        </w:rPr>
        <w:t>不提供</w:t>
      </w:r>
    </w:p>
    <w:p w14:paraId="0032AA7A">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7.</w:t>
      </w: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lang w:eastAsia="zh-CN"/>
        </w:rPr>
        <w:t>签订合同</w:t>
      </w:r>
    </w:p>
    <w:p w14:paraId="16748A2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.1采购人和成交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应当自成交通知书发出之日起15日历天内，根据竞争性磋商文件和成交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的竞争性磋商响应文件订立书面合同。成交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无正当理由拒签合同的，采购人取消其成交资格；给采购人造成的损失的，成交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还应当予以赔偿。</w:t>
      </w:r>
    </w:p>
    <w:p w14:paraId="426F363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.2发出成交通知书后，采购人无正当理由拒签合同的；给成交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造成损失的，还应当赔偿损失。</w:t>
      </w:r>
    </w:p>
    <w:p w14:paraId="591B0DC9">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7.</w:t>
      </w:r>
      <w:r>
        <w:rPr>
          <w:rFonts w:hint="eastAsia" w:ascii="宋体" w:hAnsi="宋体" w:eastAsia="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eastAsia="zh-CN"/>
        </w:rPr>
        <w:t xml:space="preserve"> 付款方式</w:t>
      </w:r>
    </w:p>
    <w:p w14:paraId="628EA8E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.1 付款方式：详见供应商须知前附表</w:t>
      </w:r>
    </w:p>
    <w:p w14:paraId="26304720">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43" w:name="_Toc30515"/>
      <w:bookmarkStart w:id="44" w:name="_Toc11457"/>
      <w:r>
        <w:rPr>
          <w:rFonts w:hint="eastAsia" w:ascii="宋体" w:hAnsi="宋体" w:eastAsia="宋体" w:cs="宋体"/>
          <w:b/>
          <w:bCs/>
          <w:color w:val="auto"/>
          <w:sz w:val="22"/>
          <w:szCs w:val="22"/>
          <w:highlight w:val="none"/>
          <w:lang w:eastAsia="zh-CN"/>
        </w:rPr>
        <w:t>8.重新采购</w:t>
      </w:r>
      <w:bookmarkEnd w:id="43"/>
      <w:bookmarkEnd w:id="44"/>
    </w:p>
    <w:p w14:paraId="76B2E283">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8.1 重新采购</w:t>
      </w:r>
    </w:p>
    <w:p w14:paraId="7215FF1F">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p>
    <w:p w14:paraId="0929B2B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有下列情形之一的，采购人或者采购代理机构应当终止竞争性磋商采购活动，发布项目终止公告并说明原因，重新开展采购活动：</w:t>
      </w:r>
    </w:p>
    <w:p w14:paraId="54055CC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（一）因情况变化，不再符合规定的竞争性磋商采购方式适用情形的；</w:t>
      </w:r>
    </w:p>
    <w:p w14:paraId="38E072D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（二）出现影响采购公正的违法、违规行为的；</w:t>
      </w:r>
    </w:p>
    <w:p w14:paraId="031587F0">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（三）除本办法第二十一条第三款规定的情形外，在采购过程中符合要求的供应商或者报价未超过采购预算的供应商不足3家的。</w:t>
      </w:r>
    </w:p>
    <w:p w14:paraId="0FA03F81">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45" w:name="_Toc4458"/>
      <w:bookmarkStart w:id="46" w:name="_Toc16896"/>
      <w:r>
        <w:rPr>
          <w:rFonts w:hint="eastAsia" w:ascii="宋体" w:hAnsi="宋体" w:eastAsia="宋体" w:cs="宋体"/>
          <w:b/>
          <w:bCs/>
          <w:color w:val="auto"/>
          <w:sz w:val="22"/>
          <w:szCs w:val="22"/>
          <w:highlight w:val="none"/>
          <w:lang w:eastAsia="zh-CN"/>
        </w:rPr>
        <w:t>9.纪律和监督</w:t>
      </w:r>
      <w:bookmarkEnd w:id="45"/>
      <w:bookmarkEnd w:id="46"/>
    </w:p>
    <w:p w14:paraId="0829112A">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9.1对采购人的纪律要求</w:t>
      </w:r>
    </w:p>
    <w:p w14:paraId="6F7887E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采购人不得泄漏磋商活动中应当保密的情况和资料，不得与供应商串通损害国家利益、社会公共利益或者他人合法权益。</w:t>
      </w:r>
    </w:p>
    <w:p w14:paraId="2467BFDB">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9.2对供应商的纪律要求</w:t>
      </w:r>
    </w:p>
    <w:p w14:paraId="1EC3352F">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供应商不得相互串通或者与采购人串通，不得向采购人或者磋商成员行贿谋取成交，不得以他人名义参与磋商或者以其他方式弄虚作假骗取成交；供应商不得以任何方式干扰、影响评审工作。</w:t>
      </w:r>
    </w:p>
    <w:p w14:paraId="6E75BE76">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9.3对磋商小组成员的纪律要求</w:t>
      </w:r>
    </w:p>
    <w:p w14:paraId="24EF970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磋商小组成员不得收受他人的财物或者其他好处，不得向他人透漏对竞争性磋商响应文件的评审和比较、成交候选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的推荐情况以及评审有关的其他情况。在评审活动中，磋商小组成员不得擅离职守，影响评审程序正常进行，不得使用“评审办法”没有规定的评审因素和标准进行评审。</w:t>
      </w:r>
    </w:p>
    <w:p w14:paraId="6939F434">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9.4对与评审活动有关的工作人员的纪律要求</w:t>
      </w:r>
    </w:p>
    <w:p w14:paraId="2787146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与评审活动有关的工作人员不得收受他人的财物或者其他好处，不得向他人透漏对竞争性磋商响应文件的评审和比较、成交候选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的推荐情况以及评审有关的其他情况。在评审活动中，与评审活动有关的工作人员不得擅离职守，影响评审程序正常进行。</w:t>
      </w:r>
    </w:p>
    <w:p w14:paraId="592BE3D4">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9.5质疑与接收</w:t>
      </w:r>
    </w:p>
    <w:p w14:paraId="08FCCDEB">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采购代理机构质疑函接收部门、联系电话和通讯地址</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见供应商须知</w:t>
      </w:r>
      <w:r>
        <w:rPr>
          <w:rFonts w:hint="eastAsia" w:ascii="宋体" w:hAnsi="宋体" w:eastAsia="宋体" w:cs="宋体"/>
          <w:color w:val="auto"/>
          <w:sz w:val="22"/>
          <w:szCs w:val="22"/>
          <w:highlight w:val="none"/>
          <w:lang w:val="en-US" w:eastAsia="zh-CN"/>
        </w:rPr>
        <w:t>前附</w:t>
      </w:r>
      <w:r>
        <w:rPr>
          <w:rFonts w:hint="eastAsia" w:ascii="宋体" w:hAnsi="宋体" w:eastAsia="宋体" w:cs="宋体"/>
          <w:color w:val="auto"/>
          <w:sz w:val="22"/>
          <w:szCs w:val="22"/>
          <w:highlight w:val="none"/>
          <w:lang w:eastAsia="zh-CN"/>
        </w:rPr>
        <w:t>表。</w:t>
      </w:r>
    </w:p>
    <w:p w14:paraId="71CCB3A6">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47" w:name="_Toc14232"/>
      <w:bookmarkStart w:id="48" w:name="_Toc9331"/>
      <w:r>
        <w:rPr>
          <w:rFonts w:hint="eastAsia" w:ascii="宋体" w:hAnsi="宋体" w:eastAsia="宋体" w:cs="宋体"/>
          <w:b/>
          <w:bCs/>
          <w:color w:val="auto"/>
          <w:sz w:val="22"/>
          <w:szCs w:val="22"/>
          <w:highlight w:val="none"/>
          <w:lang w:eastAsia="zh-CN"/>
        </w:rPr>
        <w:t>10.需要补充的其他内容</w:t>
      </w:r>
      <w:bookmarkEnd w:id="47"/>
      <w:bookmarkEnd w:id="48"/>
    </w:p>
    <w:p w14:paraId="403D14B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sectPr>
          <w:footerReference r:id="rId5" w:type="default"/>
          <w:pgSz w:w="11910" w:h="16840"/>
          <w:pgMar w:top="1440" w:right="1080" w:bottom="1440" w:left="1080" w:header="878" w:footer="1130" w:gutter="0"/>
          <w:pgNumType w:fmt="decimal"/>
          <w:cols w:space="720" w:num="1"/>
        </w:sectPr>
      </w:pPr>
      <w:r>
        <w:rPr>
          <w:rFonts w:hint="eastAsia" w:ascii="宋体" w:hAnsi="宋体" w:eastAsia="宋体" w:cs="宋体"/>
          <w:color w:val="auto"/>
          <w:sz w:val="22"/>
          <w:szCs w:val="22"/>
          <w:highlight w:val="none"/>
          <w:lang w:eastAsia="zh-CN"/>
        </w:rPr>
        <w:t>需要补充的其他内容：见供应商须知前附表。</w:t>
      </w:r>
    </w:p>
    <w:p w14:paraId="0CF6E1CC">
      <w:pPr>
        <w:tabs>
          <w:tab w:val="left" w:pos="3579"/>
        </w:tabs>
        <w:spacing w:before="61" w:line="360" w:lineRule="auto"/>
        <w:jc w:val="center"/>
        <w:outlineLvl w:val="0"/>
        <w:rPr>
          <w:rFonts w:hint="eastAsia" w:ascii="宋体" w:hAnsi="宋体" w:eastAsia="宋体" w:cs="宋体"/>
          <w:b/>
          <w:color w:val="auto"/>
          <w:sz w:val="32"/>
          <w:szCs w:val="32"/>
          <w:highlight w:val="none"/>
          <w:lang w:eastAsia="zh-CN"/>
        </w:rPr>
      </w:pPr>
      <w:bookmarkStart w:id="49" w:name="_bookmark3"/>
      <w:bookmarkEnd w:id="49"/>
      <w:bookmarkStart w:id="50" w:name="_Toc27017"/>
      <w:r>
        <w:rPr>
          <w:rFonts w:hint="eastAsia" w:ascii="宋体" w:hAnsi="宋体" w:eastAsia="宋体" w:cs="宋体"/>
          <w:b/>
          <w:color w:val="auto"/>
          <w:sz w:val="32"/>
          <w:szCs w:val="32"/>
          <w:highlight w:val="none"/>
          <w:lang w:eastAsia="zh-CN"/>
        </w:rPr>
        <w:t>第三章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评审办法（综合评分法）</w:t>
      </w:r>
      <w:bookmarkEnd w:id="50"/>
    </w:p>
    <w:p w14:paraId="0F0CF3B0">
      <w:pPr>
        <w:spacing w:before="186" w:line="360" w:lineRule="auto"/>
        <w:ind w:right="144"/>
        <w:jc w:val="center"/>
        <w:outlineLvl w:val="9"/>
        <w:rPr>
          <w:rFonts w:hint="eastAsia" w:ascii="宋体" w:hAnsi="宋体" w:eastAsia="宋体" w:cs="宋体"/>
          <w:b/>
          <w:bCs/>
          <w:color w:val="auto"/>
          <w:sz w:val="28"/>
          <w:szCs w:val="28"/>
          <w:highlight w:val="none"/>
        </w:rPr>
      </w:pPr>
      <w:bookmarkStart w:id="51" w:name="评审办法前附表"/>
      <w:bookmarkEnd w:id="51"/>
      <w:bookmarkStart w:id="52" w:name="_Toc27221"/>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评审办法前附表</w:t>
      </w:r>
      <w:bookmarkEnd w:id="52"/>
    </w:p>
    <w:p w14:paraId="79A985AC">
      <w:pPr>
        <w:pStyle w:val="11"/>
        <w:spacing w:before="4" w:after="1" w:line="360" w:lineRule="auto"/>
        <w:rPr>
          <w:rFonts w:hint="eastAsia" w:ascii="宋体" w:hAnsi="宋体" w:eastAsia="宋体" w:cs="宋体"/>
          <w:b/>
          <w:color w:val="auto"/>
          <w:sz w:val="12"/>
          <w:highlight w:val="none"/>
        </w:rPr>
      </w:pPr>
    </w:p>
    <w:tbl>
      <w:tblPr>
        <w:tblStyle w:val="32"/>
        <w:tblW w:w="9718" w:type="dxa"/>
        <w:tblInd w:w="-18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65"/>
        <w:gridCol w:w="937"/>
        <w:gridCol w:w="2447"/>
        <w:gridCol w:w="5369"/>
      </w:tblGrid>
      <w:tr w14:paraId="6D0CF1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902" w:type="dxa"/>
            <w:gridSpan w:val="2"/>
            <w:tcBorders>
              <w:top w:val="single" w:color="auto" w:sz="4" w:space="0"/>
              <w:left w:val="single" w:color="auto" w:sz="4" w:space="0"/>
              <w:bottom w:val="single" w:color="auto" w:sz="4" w:space="0"/>
              <w:right w:val="single" w:color="auto" w:sz="4" w:space="0"/>
            </w:tcBorders>
            <w:vAlign w:val="center"/>
          </w:tcPr>
          <w:p w14:paraId="60C15CD4">
            <w:pPr>
              <w:pStyle w:val="57"/>
              <w:keepNext w:val="0"/>
              <w:keepLines w:val="0"/>
              <w:pageBreakBefore w:val="0"/>
              <w:kinsoku/>
              <w:wordWrap/>
              <w:overflowPunct/>
              <w:topLinePunct w:val="0"/>
              <w:autoSpaceDE w:val="0"/>
              <w:autoSpaceDN w:val="0"/>
              <w:bidi w:val="0"/>
              <w:adjustRightInd/>
              <w:snapToGrid/>
              <w:spacing w:before="10" w:line="288" w:lineRule="auto"/>
              <w:ind w:left="403"/>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2447" w:type="dxa"/>
            <w:tcBorders>
              <w:top w:val="single" w:color="auto" w:sz="4" w:space="0"/>
              <w:left w:val="single" w:color="auto" w:sz="4" w:space="0"/>
              <w:bottom w:val="single" w:color="auto" w:sz="4" w:space="0"/>
              <w:right w:val="single" w:color="auto" w:sz="4" w:space="0"/>
            </w:tcBorders>
            <w:vAlign w:val="center"/>
          </w:tcPr>
          <w:p w14:paraId="66E8D31C">
            <w:pPr>
              <w:pStyle w:val="57"/>
              <w:keepNext w:val="0"/>
              <w:keepLines w:val="0"/>
              <w:pageBreakBefore w:val="0"/>
              <w:kinsoku/>
              <w:wordWrap/>
              <w:overflowPunct/>
              <w:topLinePunct w:val="0"/>
              <w:autoSpaceDE w:val="0"/>
              <w:autoSpaceDN w:val="0"/>
              <w:bidi w:val="0"/>
              <w:adjustRightInd/>
              <w:snapToGrid/>
              <w:spacing w:before="10" w:line="288" w:lineRule="auto"/>
              <w:ind w:left="73" w:right="42"/>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评审因素</w:t>
            </w:r>
          </w:p>
        </w:tc>
        <w:tc>
          <w:tcPr>
            <w:tcW w:w="5369" w:type="dxa"/>
            <w:tcBorders>
              <w:top w:val="single" w:color="auto" w:sz="4" w:space="0"/>
              <w:left w:val="single" w:color="auto" w:sz="4" w:space="0"/>
              <w:bottom w:val="single" w:color="auto" w:sz="4" w:space="0"/>
              <w:right w:val="single" w:color="auto" w:sz="4" w:space="0"/>
            </w:tcBorders>
            <w:vAlign w:val="center"/>
          </w:tcPr>
          <w:p w14:paraId="1F678070">
            <w:pPr>
              <w:pStyle w:val="57"/>
              <w:keepNext w:val="0"/>
              <w:keepLines w:val="0"/>
              <w:pageBreakBefore w:val="0"/>
              <w:kinsoku/>
              <w:wordWrap/>
              <w:overflowPunct/>
              <w:topLinePunct w:val="0"/>
              <w:autoSpaceDE w:val="0"/>
              <w:autoSpaceDN w:val="0"/>
              <w:bidi w:val="0"/>
              <w:adjustRightInd/>
              <w:snapToGrid/>
              <w:spacing w:before="10" w:line="288" w:lineRule="auto"/>
              <w:ind w:left="114" w:right="79"/>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评审标准</w:t>
            </w:r>
          </w:p>
        </w:tc>
      </w:tr>
      <w:tr w14:paraId="561483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restart"/>
            <w:tcBorders>
              <w:top w:val="single" w:color="auto" w:sz="4" w:space="0"/>
              <w:left w:val="single" w:color="auto" w:sz="4" w:space="0"/>
              <w:bottom w:val="single" w:color="auto" w:sz="4" w:space="0"/>
              <w:right w:val="single" w:color="auto" w:sz="4" w:space="0"/>
            </w:tcBorders>
            <w:vAlign w:val="center"/>
          </w:tcPr>
          <w:p w14:paraId="15521AE9">
            <w:pPr>
              <w:pStyle w:val="57"/>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w:t>
            </w:r>
          </w:p>
        </w:tc>
        <w:tc>
          <w:tcPr>
            <w:tcW w:w="937" w:type="dxa"/>
            <w:vMerge w:val="restart"/>
            <w:tcBorders>
              <w:top w:val="single" w:color="auto" w:sz="4" w:space="0"/>
              <w:left w:val="single" w:color="auto" w:sz="4" w:space="0"/>
              <w:bottom w:val="single" w:color="auto" w:sz="4" w:space="0"/>
              <w:right w:val="single" w:color="auto" w:sz="4" w:space="0"/>
            </w:tcBorders>
            <w:vAlign w:val="center"/>
          </w:tcPr>
          <w:p w14:paraId="55BD5ED6">
            <w:pPr>
              <w:pStyle w:val="57"/>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形式评审标准</w:t>
            </w:r>
          </w:p>
        </w:tc>
        <w:tc>
          <w:tcPr>
            <w:tcW w:w="2447" w:type="dxa"/>
            <w:tcBorders>
              <w:top w:val="single" w:color="auto" w:sz="4" w:space="0"/>
              <w:left w:val="single" w:color="auto" w:sz="4" w:space="0"/>
              <w:bottom w:val="single" w:color="auto" w:sz="4" w:space="0"/>
              <w:right w:val="single" w:color="auto" w:sz="4" w:space="0"/>
            </w:tcBorders>
            <w:vAlign w:val="center"/>
          </w:tcPr>
          <w:p w14:paraId="279E9FAB">
            <w:pPr>
              <w:pStyle w:val="57"/>
              <w:keepNext w:val="0"/>
              <w:keepLines w:val="0"/>
              <w:pageBreakBefore w:val="0"/>
              <w:kinsoku/>
              <w:wordWrap/>
              <w:overflowPunct/>
              <w:topLinePunct w:val="0"/>
              <w:autoSpaceDE w:val="0"/>
              <w:autoSpaceDN w:val="0"/>
              <w:bidi w:val="0"/>
              <w:adjustRightInd/>
              <w:snapToGrid/>
              <w:spacing w:before="10" w:line="288" w:lineRule="auto"/>
              <w:ind w:left="70" w:right="44"/>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标书雷同性分析</w:t>
            </w:r>
          </w:p>
        </w:tc>
        <w:tc>
          <w:tcPr>
            <w:tcW w:w="5369" w:type="dxa"/>
            <w:tcBorders>
              <w:top w:val="single" w:color="auto" w:sz="4" w:space="0"/>
              <w:left w:val="single" w:color="auto" w:sz="4" w:space="0"/>
              <w:bottom w:val="single" w:color="auto" w:sz="4" w:space="0"/>
              <w:right w:val="single" w:color="auto" w:sz="4" w:space="0"/>
            </w:tcBorders>
            <w:vAlign w:val="center"/>
          </w:tcPr>
          <w:p w14:paraId="5A529442">
            <w:pPr>
              <w:pStyle w:val="57"/>
              <w:keepNext w:val="0"/>
              <w:keepLines w:val="0"/>
              <w:pageBreakBefore w:val="0"/>
              <w:kinsoku/>
              <w:wordWrap/>
              <w:overflowPunct/>
              <w:topLinePunct w:val="0"/>
              <w:autoSpaceDE w:val="0"/>
              <w:autoSpaceDN w:val="0"/>
              <w:bidi w:val="0"/>
              <w:adjustRightInd/>
              <w:snapToGrid/>
              <w:spacing w:before="10" w:line="288" w:lineRule="auto"/>
              <w:ind w:left="112" w:right="79"/>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投标（响应）文件制作机器码不能一致</w:t>
            </w:r>
          </w:p>
        </w:tc>
      </w:tr>
      <w:tr w14:paraId="78856D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0DE733EE">
            <w:pPr>
              <w:pStyle w:val="57"/>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0CAC8744">
            <w:pPr>
              <w:pStyle w:val="57"/>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17E82FC4">
            <w:pPr>
              <w:pStyle w:val="57"/>
              <w:keepNext w:val="0"/>
              <w:keepLines w:val="0"/>
              <w:pageBreakBefore w:val="0"/>
              <w:kinsoku/>
              <w:wordWrap/>
              <w:overflowPunct/>
              <w:topLinePunct w:val="0"/>
              <w:autoSpaceDE w:val="0"/>
              <w:autoSpaceDN w:val="0"/>
              <w:bidi w:val="0"/>
              <w:adjustRightInd/>
              <w:snapToGrid/>
              <w:spacing w:before="10" w:line="288" w:lineRule="auto"/>
              <w:ind w:left="70" w:right="44"/>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p>
        </w:tc>
        <w:tc>
          <w:tcPr>
            <w:tcW w:w="5369" w:type="dxa"/>
            <w:tcBorders>
              <w:top w:val="single" w:color="auto" w:sz="4" w:space="0"/>
              <w:left w:val="single" w:color="auto" w:sz="4" w:space="0"/>
              <w:bottom w:val="single" w:color="auto" w:sz="4" w:space="0"/>
              <w:right w:val="single" w:color="auto" w:sz="4" w:space="0"/>
            </w:tcBorders>
            <w:vAlign w:val="center"/>
          </w:tcPr>
          <w:p w14:paraId="441EA7AB">
            <w:pPr>
              <w:pStyle w:val="57"/>
              <w:keepNext w:val="0"/>
              <w:keepLines w:val="0"/>
              <w:pageBreakBefore w:val="0"/>
              <w:kinsoku/>
              <w:wordWrap/>
              <w:overflowPunct/>
              <w:topLinePunct w:val="0"/>
              <w:autoSpaceDE w:val="0"/>
              <w:autoSpaceDN w:val="0"/>
              <w:bidi w:val="0"/>
              <w:adjustRightInd/>
              <w:snapToGrid/>
              <w:spacing w:before="10" w:line="288" w:lineRule="auto"/>
              <w:ind w:left="112" w:right="79"/>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与营业执照、其他证明文件一致</w:t>
            </w:r>
          </w:p>
        </w:tc>
      </w:tr>
      <w:tr w14:paraId="0DFC89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386243BC">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7E5606FC">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36801B5C">
            <w:pPr>
              <w:pStyle w:val="57"/>
              <w:keepNext w:val="0"/>
              <w:keepLines w:val="0"/>
              <w:pageBreakBefore w:val="0"/>
              <w:kinsoku/>
              <w:wordWrap/>
              <w:overflowPunct/>
              <w:topLinePunct w:val="0"/>
              <w:autoSpaceDE w:val="0"/>
              <w:autoSpaceDN w:val="0"/>
              <w:bidi w:val="0"/>
              <w:adjustRightInd/>
              <w:snapToGrid/>
              <w:spacing w:before="10" w:line="288" w:lineRule="auto"/>
              <w:ind w:left="68" w:leftChars="0" w:right="44" w:rightChars="0"/>
              <w:jc w:val="center"/>
              <w:textAlignment w:val="auto"/>
              <w:rPr>
                <w:rFonts w:hint="eastAsia" w:ascii="宋体" w:hAnsi="宋体" w:eastAsia="宋体" w:cs="宋体"/>
                <w:color w:val="auto"/>
                <w:sz w:val="22"/>
                <w:szCs w:val="22"/>
                <w:highlight w:val="none"/>
                <w:lang w:val="en-US" w:eastAsia="en-US" w:bidi="ar-SA"/>
              </w:rPr>
            </w:pPr>
            <w:r>
              <w:rPr>
                <w:rFonts w:hint="eastAsia" w:ascii="宋体" w:hAnsi="宋体" w:eastAsia="宋体" w:cs="宋体"/>
                <w:color w:val="auto"/>
                <w:sz w:val="22"/>
                <w:szCs w:val="22"/>
                <w:highlight w:val="none"/>
              </w:rPr>
              <w:t>磋商响应函签字盖章</w:t>
            </w:r>
          </w:p>
        </w:tc>
        <w:tc>
          <w:tcPr>
            <w:tcW w:w="5369" w:type="dxa"/>
            <w:tcBorders>
              <w:top w:val="single" w:color="auto" w:sz="4" w:space="0"/>
              <w:left w:val="single" w:color="auto" w:sz="4" w:space="0"/>
              <w:bottom w:val="single" w:color="auto" w:sz="4" w:space="0"/>
              <w:right w:val="single" w:color="auto" w:sz="4" w:space="0"/>
            </w:tcBorders>
            <w:vAlign w:val="center"/>
          </w:tcPr>
          <w:p w14:paraId="3C562FA8">
            <w:pPr>
              <w:pStyle w:val="57"/>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rPr>
              <w:t>符合竞争性磋商文件规定</w:t>
            </w:r>
          </w:p>
        </w:tc>
      </w:tr>
      <w:tr w14:paraId="29533F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7D24F8E6">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5C68E5C5">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6D2A053A">
            <w:pPr>
              <w:pStyle w:val="57"/>
              <w:keepNext w:val="0"/>
              <w:keepLines w:val="0"/>
              <w:pageBreakBefore w:val="0"/>
              <w:kinsoku/>
              <w:wordWrap/>
              <w:overflowPunct/>
              <w:topLinePunct w:val="0"/>
              <w:autoSpaceDE w:val="0"/>
              <w:autoSpaceDN w:val="0"/>
              <w:bidi w:val="0"/>
              <w:adjustRightInd/>
              <w:snapToGrid/>
              <w:spacing w:before="10" w:line="288" w:lineRule="auto"/>
              <w:ind w:left="68" w:leftChars="0" w:right="44" w:rightChars="0"/>
              <w:jc w:val="center"/>
              <w:textAlignment w:val="auto"/>
              <w:rPr>
                <w:rFonts w:hint="eastAsia" w:ascii="宋体" w:hAnsi="宋体" w:eastAsia="宋体" w:cs="宋体"/>
                <w:color w:val="auto"/>
                <w:sz w:val="22"/>
                <w:szCs w:val="22"/>
                <w:highlight w:val="none"/>
                <w:lang w:val="en-US" w:eastAsia="en-US" w:bidi="ar-SA"/>
              </w:rPr>
            </w:pPr>
            <w:r>
              <w:rPr>
                <w:rFonts w:hint="eastAsia" w:ascii="宋体" w:hAnsi="宋体" w:eastAsia="宋体" w:cs="宋体"/>
                <w:color w:val="auto"/>
                <w:sz w:val="22"/>
                <w:szCs w:val="22"/>
                <w:highlight w:val="none"/>
              </w:rPr>
              <w:t>响应文件格式</w:t>
            </w:r>
          </w:p>
        </w:tc>
        <w:tc>
          <w:tcPr>
            <w:tcW w:w="5369" w:type="dxa"/>
            <w:tcBorders>
              <w:top w:val="single" w:color="auto" w:sz="4" w:space="0"/>
              <w:left w:val="single" w:color="auto" w:sz="4" w:space="0"/>
              <w:bottom w:val="single" w:color="auto" w:sz="4" w:space="0"/>
              <w:right w:val="single" w:color="auto" w:sz="4" w:space="0"/>
            </w:tcBorders>
            <w:vAlign w:val="center"/>
          </w:tcPr>
          <w:p w14:paraId="03241F89">
            <w:pPr>
              <w:pStyle w:val="57"/>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rPr>
              <w:t>符合竞争性磋商文件中提供的响应文件格式</w:t>
            </w:r>
          </w:p>
        </w:tc>
      </w:tr>
      <w:tr w14:paraId="20B31A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15E5002D">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43E0985D">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0ADA36B7">
            <w:pPr>
              <w:pStyle w:val="57"/>
              <w:keepNext w:val="0"/>
              <w:keepLines w:val="0"/>
              <w:pageBreakBefore w:val="0"/>
              <w:kinsoku/>
              <w:wordWrap/>
              <w:overflowPunct/>
              <w:topLinePunct w:val="0"/>
              <w:autoSpaceDE w:val="0"/>
              <w:autoSpaceDN w:val="0"/>
              <w:bidi w:val="0"/>
              <w:adjustRightInd/>
              <w:snapToGrid/>
              <w:spacing w:before="10" w:line="288" w:lineRule="auto"/>
              <w:ind w:left="68" w:right="44"/>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报价唯一</w:t>
            </w:r>
          </w:p>
        </w:tc>
        <w:tc>
          <w:tcPr>
            <w:tcW w:w="5369" w:type="dxa"/>
            <w:tcBorders>
              <w:top w:val="single" w:color="auto" w:sz="4" w:space="0"/>
              <w:left w:val="single" w:color="auto" w:sz="4" w:space="0"/>
              <w:bottom w:val="single" w:color="auto" w:sz="4" w:space="0"/>
              <w:right w:val="single" w:color="auto" w:sz="4" w:space="0"/>
            </w:tcBorders>
            <w:vAlign w:val="center"/>
          </w:tcPr>
          <w:p w14:paraId="7D9DB08E">
            <w:pPr>
              <w:pStyle w:val="57"/>
              <w:keepNext w:val="0"/>
              <w:keepLines w:val="0"/>
              <w:pageBreakBefore w:val="0"/>
              <w:kinsoku/>
              <w:wordWrap/>
              <w:overflowPunct/>
              <w:topLinePunct w:val="0"/>
              <w:autoSpaceDE w:val="0"/>
              <w:autoSpaceDN w:val="0"/>
              <w:bidi w:val="0"/>
              <w:adjustRightInd/>
              <w:snapToGrid/>
              <w:spacing w:before="10" w:line="288" w:lineRule="auto"/>
              <w:ind w:left="112" w:right="79"/>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只能有一个有效报价</w:t>
            </w:r>
          </w:p>
        </w:tc>
      </w:tr>
      <w:tr w14:paraId="7B2AC1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restart"/>
            <w:tcBorders>
              <w:top w:val="single" w:color="auto" w:sz="4" w:space="0"/>
              <w:left w:val="single" w:color="auto" w:sz="4" w:space="0"/>
              <w:bottom w:val="single" w:color="auto" w:sz="4" w:space="0"/>
              <w:right w:val="single" w:color="auto" w:sz="4" w:space="0"/>
            </w:tcBorders>
            <w:vAlign w:val="center"/>
          </w:tcPr>
          <w:p w14:paraId="6583D1FC">
            <w:pPr>
              <w:pStyle w:val="57"/>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w:t>
            </w:r>
          </w:p>
        </w:tc>
        <w:tc>
          <w:tcPr>
            <w:tcW w:w="937" w:type="dxa"/>
            <w:vMerge w:val="restart"/>
            <w:tcBorders>
              <w:top w:val="single" w:color="auto" w:sz="4" w:space="0"/>
              <w:left w:val="single" w:color="auto" w:sz="4" w:space="0"/>
              <w:bottom w:val="single" w:color="auto" w:sz="4" w:space="0"/>
              <w:right w:val="single" w:color="auto" w:sz="4" w:space="0"/>
            </w:tcBorders>
            <w:vAlign w:val="center"/>
          </w:tcPr>
          <w:p w14:paraId="64F044F6">
            <w:pPr>
              <w:pStyle w:val="57"/>
              <w:keepNext w:val="0"/>
              <w:keepLines w:val="0"/>
              <w:pageBreakBefore w:val="0"/>
              <w:kinsoku/>
              <w:wordWrap/>
              <w:overflowPunct/>
              <w:topLinePunct w:val="0"/>
              <w:autoSpaceDE w:val="0"/>
              <w:autoSpaceDN w:val="0"/>
              <w:bidi w:val="0"/>
              <w:adjustRightInd/>
              <w:snapToGrid/>
              <w:spacing w:before="10" w:line="288" w:lineRule="auto"/>
              <w:ind w:left="114" w:right="76"/>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资格评审标准</w:t>
            </w:r>
          </w:p>
        </w:tc>
        <w:tc>
          <w:tcPr>
            <w:tcW w:w="2447" w:type="dxa"/>
            <w:tcBorders>
              <w:top w:val="single" w:color="auto" w:sz="4" w:space="0"/>
              <w:left w:val="single" w:color="auto" w:sz="4" w:space="0"/>
              <w:bottom w:val="single" w:color="auto" w:sz="4" w:space="0"/>
              <w:right w:val="single" w:color="auto" w:sz="4" w:space="0"/>
            </w:tcBorders>
            <w:vAlign w:val="center"/>
          </w:tcPr>
          <w:p w14:paraId="52E8829C">
            <w:pPr>
              <w:pStyle w:val="57"/>
              <w:keepNext w:val="0"/>
              <w:keepLines w:val="0"/>
              <w:pageBreakBefore w:val="0"/>
              <w:widowControl/>
              <w:kinsoku/>
              <w:wordWrap/>
              <w:overflowPunct/>
              <w:topLinePunct w:val="0"/>
              <w:autoSpaceDE w:val="0"/>
              <w:autoSpaceDN w:val="0"/>
              <w:bidi w:val="0"/>
              <w:adjustRightInd/>
              <w:snapToGrid/>
              <w:spacing w:line="288" w:lineRule="auto"/>
              <w:ind w:left="108" w:lef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具有独立承担民事责任的能力</w:t>
            </w:r>
          </w:p>
        </w:tc>
        <w:tc>
          <w:tcPr>
            <w:tcW w:w="5369" w:type="dxa"/>
            <w:tcBorders>
              <w:top w:val="single" w:color="auto" w:sz="4" w:space="0"/>
              <w:left w:val="single" w:color="auto" w:sz="4" w:space="0"/>
              <w:bottom w:val="single" w:color="auto" w:sz="4" w:space="0"/>
              <w:right w:val="single" w:color="auto" w:sz="4" w:space="0"/>
            </w:tcBorders>
            <w:vAlign w:val="center"/>
          </w:tcPr>
          <w:p w14:paraId="154D3AD2">
            <w:pPr>
              <w:pStyle w:val="57"/>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3D10E5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2B0C11D6">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27BD0AEA">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425A5677">
            <w:pPr>
              <w:pStyle w:val="57"/>
              <w:keepNext w:val="0"/>
              <w:keepLines w:val="0"/>
              <w:pageBreakBefore w:val="0"/>
              <w:widowControl/>
              <w:kinsoku/>
              <w:wordWrap/>
              <w:overflowPunct/>
              <w:topLinePunct w:val="0"/>
              <w:autoSpaceDE w:val="0"/>
              <w:autoSpaceDN w:val="0"/>
              <w:bidi w:val="0"/>
              <w:adjustRightInd/>
              <w:snapToGrid/>
              <w:spacing w:line="288" w:lineRule="auto"/>
              <w:ind w:left="108" w:lef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具有良好的商业信誉和健全的财务会计制度</w:t>
            </w:r>
          </w:p>
        </w:tc>
        <w:tc>
          <w:tcPr>
            <w:tcW w:w="5369" w:type="dxa"/>
            <w:tcBorders>
              <w:top w:val="single" w:color="auto" w:sz="4" w:space="0"/>
              <w:left w:val="single" w:color="auto" w:sz="4" w:space="0"/>
              <w:bottom w:val="single" w:color="auto" w:sz="4" w:space="0"/>
              <w:right w:val="single" w:color="auto" w:sz="4" w:space="0"/>
            </w:tcBorders>
            <w:vAlign w:val="center"/>
          </w:tcPr>
          <w:p w14:paraId="21EAD5DE">
            <w:pPr>
              <w:pStyle w:val="57"/>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0B1C54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1A620D5F">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69D69FB2">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5B37364B">
            <w:pPr>
              <w:pStyle w:val="57"/>
              <w:keepNext w:val="0"/>
              <w:keepLines w:val="0"/>
              <w:pageBreakBefore w:val="0"/>
              <w:widowControl/>
              <w:kinsoku/>
              <w:wordWrap/>
              <w:overflowPunct/>
              <w:topLinePunct w:val="0"/>
              <w:autoSpaceDE w:val="0"/>
              <w:autoSpaceDN w:val="0"/>
              <w:bidi w:val="0"/>
              <w:adjustRightInd/>
              <w:snapToGrid/>
              <w:spacing w:line="288" w:lineRule="auto"/>
              <w:ind w:right="97"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具有履行合同所必需的设备和专业技术能力</w:t>
            </w:r>
          </w:p>
        </w:tc>
        <w:tc>
          <w:tcPr>
            <w:tcW w:w="5369" w:type="dxa"/>
            <w:tcBorders>
              <w:top w:val="single" w:color="auto" w:sz="4" w:space="0"/>
              <w:left w:val="single" w:color="auto" w:sz="4" w:space="0"/>
              <w:bottom w:val="single" w:color="auto" w:sz="4" w:space="0"/>
              <w:right w:val="single" w:color="auto" w:sz="4" w:space="0"/>
            </w:tcBorders>
            <w:vAlign w:val="center"/>
          </w:tcPr>
          <w:p w14:paraId="638E4796">
            <w:pPr>
              <w:pStyle w:val="57"/>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630B66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4F6E0AC7">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10D7758E">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6AA8F761">
            <w:pPr>
              <w:pStyle w:val="57"/>
              <w:keepNext w:val="0"/>
              <w:keepLines w:val="0"/>
              <w:pageBreakBefore w:val="0"/>
              <w:widowControl/>
              <w:kinsoku/>
              <w:wordWrap/>
              <w:overflowPunct/>
              <w:topLinePunct w:val="0"/>
              <w:autoSpaceDE w:val="0"/>
              <w:autoSpaceDN w:val="0"/>
              <w:bidi w:val="0"/>
              <w:adjustRightInd/>
              <w:snapToGrid/>
              <w:spacing w:line="288" w:lineRule="auto"/>
              <w:ind w:right="97"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有依法缴纳税收和社会保障资金的良好记录</w:t>
            </w:r>
          </w:p>
        </w:tc>
        <w:tc>
          <w:tcPr>
            <w:tcW w:w="5369" w:type="dxa"/>
            <w:tcBorders>
              <w:top w:val="single" w:color="auto" w:sz="4" w:space="0"/>
              <w:left w:val="single" w:color="auto" w:sz="4" w:space="0"/>
              <w:bottom w:val="single" w:color="auto" w:sz="4" w:space="0"/>
              <w:right w:val="single" w:color="auto" w:sz="4" w:space="0"/>
            </w:tcBorders>
            <w:vAlign w:val="top"/>
          </w:tcPr>
          <w:p w14:paraId="150F9767">
            <w:pPr>
              <w:pStyle w:val="57"/>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62A7D3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7E922F05">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3835001E">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370E5310">
            <w:pPr>
              <w:pStyle w:val="57"/>
              <w:keepNext w:val="0"/>
              <w:keepLines w:val="0"/>
              <w:pageBreakBefore w:val="0"/>
              <w:widowControl/>
              <w:kinsoku/>
              <w:wordWrap/>
              <w:overflowPunct/>
              <w:topLinePunct w:val="0"/>
              <w:autoSpaceDE w:val="0"/>
              <w:autoSpaceDN w:val="0"/>
              <w:bidi w:val="0"/>
              <w:adjustRightInd/>
              <w:snapToGrid/>
              <w:spacing w:line="288" w:lineRule="auto"/>
              <w:ind w:right="97"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参加采购活动前三年内，在经营活动中没有重大违法记录</w:t>
            </w:r>
          </w:p>
        </w:tc>
        <w:tc>
          <w:tcPr>
            <w:tcW w:w="5369" w:type="dxa"/>
            <w:tcBorders>
              <w:top w:val="single" w:color="auto" w:sz="4" w:space="0"/>
              <w:left w:val="single" w:color="auto" w:sz="4" w:space="0"/>
              <w:bottom w:val="single" w:color="auto" w:sz="4" w:space="0"/>
              <w:right w:val="single" w:color="auto" w:sz="4" w:space="0"/>
            </w:tcBorders>
            <w:vAlign w:val="center"/>
          </w:tcPr>
          <w:p w14:paraId="1F8A8F1D">
            <w:pPr>
              <w:pStyle w:val="57"/>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042D2A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2AB80BDE">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3AC8721F">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49F237C5">
            <w:pPr>
              <w:pStyle w:val="57"/>
              <w:keepNext w:val="0"/>
              <w:keepLines w:val="0"/>
              <w:pageBreakBefore w:val="0"/>
              <w:widowControl/>
              <w:kinsoku/>
              <w:wordWrap/>
              <w:overflowPunct/>
              <w:topLinePunct w:val="0"/>
              <w:autoSpaceDE w:val="0"/>
              <w:autoSpaceDN w:val="0"/>
              <w:bidi w:val="0"/>
              <w:adjustRightInd/>
              <w:snapToGrid/>
              <w:spacing w:line="288" w:lineRule="auto"/>
              <w:ind w:right="97"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供应商资质</w:t>
            </w:r>
            <w:r>
              <w:rPr>
                <w:rFonts w:hint="eastAsia" w:cs="宋体"/>
                <w:color w:val="auto"/>
                <w:sz w:val="22"/>
                <w:szCs w:val="22"/>
                <w:highlight w:val="none"/>
                <w:lang w:val="en-US" w:eastAsia="zh-CN"/>
              </w:rPr>
              <w:t>要求</w:t>
            </w:r>
          </w:p>
        </w:tc>
        <w:tc>
          <w:tcPr>
            <w:tcW w:w="5369" w:type="dxa"/>
            <w:tcBorders>
              <w:top w:val="single" w:color="auto" w:sz="4" w:space="0"/>
              <w:left w:val="single" w:color="auto" w:sz="4" w:space="0"/>
              <w:bottom w:val="single" w:color="auto" w:sz="4" w:space="0"/>
              <w:right w:val="single" w:color="auto" w:sz="4" w:space="0"/>
            </w:tcBorders>
            <w:vAlign w:val="top"/>
          </w:tcPr>
          <w:p w14:paraId="4157A224">
            <w:pPr>
              <w:pStyle w:val="57"/>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443488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16BC908D">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76AFB938">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06FCC180">
            <w:pPr>
              <w:pStyle w:val="57"/>
              <w:keepNext w:val="0"/>
              <w:keepLines w:val="0"/>
              <w:pageBreakBefore w:val="0"/>
              <w:widowControl/>
              <w:kinsoku/>
              <w:wordWrap/>
              <w:overflowPunct/>
              <w:topLinePunct w:val="0"/>
              <w:autoSpaceDE w:val="0"/>
              <w:autoSpaceDN w:val="0"/>
              <w:bidi w:val="0"/>
              <w:adjustRightInd/>
              <w:snapToGrid/>
              <w:spacing w:line="288" w:lineRule="auto"/>
              <w:ind w:right="97" w:rightChars="0"/>
              <w:jc w:val="center"/>
              <w:textAlignment w:val="auto"/>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项目总监</w:t>
            </w:r>
            <w:r>
              <w:rPr>
                <w:rFonts w:hint="eastAsia" w:ascii="宋体" w:hAnsi="宋体" w:eastAsia="宋体" w:cs="宋体"/>
                <w:color w:val="auto"/>
                <w:sz w:val="22"/>
                <w:szCs w:val="22"/>
                <w:highlight w:val="none"/>
                <w:lang w:val="en-US" w:eastAsia="zh-CN"/>
              </w:rPr>
              <w:t>要求</w:t>
            </w:r>
          </w:p>
        </w:tc>
        <w:tc>
          <w:tcPr>
            <w:tcW w:w="5369" w:type="dxa"/>
            <w:tcBorders>
              <w:top w:val="single" w:color="auto" w:sz="4" w:space="0"/>
              <w:left w:val="single" w:color="auto" w:sz="4" w:space="0"/>
              <w:bottom w:val="single" w:color="auto" w:sz="4" w:space="0"/>
              <w:right w:val="single" w:color="auto" w:sz="4" w:space="0"/>
            </w:tcBorders>
            <w:vAlign w:val="top"/>
          </w:tcPr>
          <w:p w14:paraId="0E203753">
            <w:pPr>
              <w:pStyle w:val="57"/>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355AB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46D9EC5B">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5FB91C05">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27E18FDC">
            <w:pPr>
              <w:pStyle w:val="57"/>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信用查询</w:t>
            </w:r>
          </w:p>
        </w:tc>
        <w:tc>
          <w:tcPr>
            <w:tcW w:w="5369" w:type="dxa"/>
            <w:tcBorders>
              <w:top w:val="single" w:color="auto" w:sz="4" w:space="0"/>
              <w:left w:val="single" w:color="auto" w:sz="4" w:space="0"/>
              <w:bottom w:val="single" w:color="auto" w:sz="4" w:space="0"/>
              <w:right w:val="single" w:color="auto" w:sz="4" w:space="0"/>
            </w:tcBorders>
            <w:vAlign w:val="top"/>
          </w:tcPr>
          <w:p w14:paraId="35F92464">
            <w:pPr>
              <w:pStyle w:val="57"/>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4D5E32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3629145A">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363BCF6B">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2B901876">
            <w:pPr>
              <w:pStyle w:val="57"/>
              <w:keepNext w:val="0"/>
              <w:keepLines w:val="0"/>
              <w:pageBreakBefore w:val="0"/>
              <w:widowControl/>
              <w:tabs>
                <w:tab w:val="left" w:pos="619"/>
                <w:tab w:val="left" w:pos="1130"/>
                <w:tab w:val="left" w:pos="1641"/>
                <w:tab w:val="left" w:pos="2152"/>
              </w:tabs>
              <w:kinsoku/>
              <w:wordWrap/>
              <w:overflowPunct/>
              <w:topLinePunct w:val="0"/>
              <w:autoSpaceDE w:val="0"/>
              <w:autoSpaceDN w:val="0"/>
              <w:bidi w:val="0"/>
              <w:adjustRightInd/>
              <w:snapToGrid/>
              <w:spacing w:line="288" w:lineRule="auto"/>
              <w:ind w:left="108" w:leftChars="0" w:right="97"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单位负责人为同一人或者存在直接控股、管理关系的不同供应商，不得参加同一合同项下的政府采购活动</w:t>
            </w:r>
          </w:p>
        </w:tc>
        <w:tc>
          <w:tcPr>
            <w:tcW w:w="5369" w:type="dxa"/>
            <w:tcBorders>
              <w:top w:val="single" w:color="auto" w:sz="4" w:space="0"/>
              <w:left w:val="single" w:color="auto" w:sz="4" w:space="0"/>
              <w:bottom w:val="single" w:color="auto" w:sz="4" w:space="0"/>
              <w:right w:val="single" w:color="auto" w:sz="4" w:space="0"/>
            </w:tcBorders>
            <w:vAlign w:val="center"/>
          </w:tcPr>
          <w:p w14:paraId="3C4C5DC3">
            <w:pPr>
              <w:pStyle w:val="57"/>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2A1A22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restart"/>
            <w:tcBorders>
              <w:top w:val="single" w:color="auto" w:sz="4" w:space="0"/>
              <w:left w:val="single" w:color="auto" w:sz="4" w:space="0"/>
              <w:bottom w:val="single" w:color="auto" w:sz="4" w:space="0"/>
              <w:right w:val="single" w:color="auto" w:sz="4" w:space="0"/>
            </w:tcBorders>
            <w:vAlign w:val="center"/>
          </w:tcPr>
          <w:p w14:paraId="3BAE79CC">
            <w:pPr>
              <w:pStyle w:val="57"/>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2.1.3</w:t>
            </w:r>
          </w:p>
          <w:p w14:paraId="77B29DB8">
            <w:pPr>
              <w:pStyle w:val="57"/>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rPr>
            </w:pPr>
          </w:p>
        </w:tc>
        <w:tc>
          <w:tcPr>
            <w:tcW w:w="937" w:type="dxa"/>
            <w:vMerge w:val="restart"/>
            <w:tcBorders>
              <w:top w:val="single" w:color="auto" w:sz="4" w:space="0"/>
              <w:left w:val="single" w:color="auto" w:sz="4" w:space="0"/>
              <w:bottom w:val="single" w:color="auto" w:sz="4" w:space="0"/>
              <w:right w:val="single" w:color="auto" w:sz="4" w:space="0"/>
            </w:tcBorders>
            <w:vAlign w:val="center"/>
          </w:tcPr>
          <w:p w14:paraId="463BE3B0">
            <w:pPr>
              <w:pStyle w:val="57"/>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响应性评审标准</w:t>
            </w:r>
          </w:p>
        </w:tc>
        <w:tc>
          <w:tcPr>
            <w:tcW w:w="2447" w:type="dxa"/>
            <w:tcBorders>
              <w:top w:val="single" w:color="auto" w:sz="4" w:space="0"/>
              <w:left w:val="single" w:color="auto" w:sz="4" w:space="0"/>
              <w:bottom w:val="single" w:color="auto" w:sz="4" w:space="0"/>
              <w:right w:val="single" w:color="auto" w:sz="4" w:space="0"/>
            </w:tcBorders>
            <w:vAlign w:val="center"/>
          </w:tcPr>
          <w:p w14:paraId="4C8C088D">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磋商报价</w:t>
            </w:r>
          </w:p>
        </w:tc>
        <w:tc>
          <w:tcPr>
            <w:tcW w:w="5369" w:type="dxa"/>
            <w:tcBorders>
              <w:top w:val="single" w:color="auto" w:sz="4" w:space="0"/>
              <w:left w:val="single" w:color="auto" w:sz="4" w:space="0"/>
              <w:bottom w:val="single" w:color="auto" w:sz="4" w:space="0"/>
              <w:right w:val="single" w:color="auto" w:sz="4" w:space="0"/>
            </w:tcBorders>
            <w:vAlign w:val="center"/>
          </w:tcPr>
          <w:p w14:paraId="0105CFC8">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报价未超过竞争性磋商文件中规定的最高限价的</w:t>
            </w:r>
          </w:p>
        </w:tc>
      </w:tr>
      <w:tr w14:paraId="18EAB1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432D9501">
            <w:pPr>
              <w:pStyle w:val="57"/>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38727427">
            <w:pPr>
              <w:pStyle w:val="57"/>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0A64DCF9">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监理服务期</w:t>
            </w:r>
          </w:p>
        </w:tc>
        <w:tc>
          <w:tcPr>
            <w:tcW w:w="5369" w:type="dxa"/>
            <w:tcBorders>
              <w:top w:val="single" w:color="auto" w:sz="4" w:space="0"/>
              <w:left w:val="single" w:color="auto" w:sz="4" w:space="0"/>
              <w:bottom w:val="single" w:color="auto" w:sz="4" w:space="0"/>
              <w:right w:val="single" w:color="auto" w:sz="4" w:space="0"/>
            </w:tcBorders>
            <w:vAlign w:val="center"/>
          </w:tcPr>
          <w:p w14:paraId="4121EAF8">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供应商须知前附表1.3.2项规定</w:t>
            </w:r>
          </w:p>
        </w:tc>
      </w:tr>
      <w:tr w14:paraId="1C772F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56C9BB25">
            <w:pPr>
              <w:pStyle w:val="57"/>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718E327B">
            <w:pPr>
              <w:pStyle w:val="57"/>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69471343">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质量要求</w:t>
            </w:r>
          </w:p>
        </w:tc>
        <w:tc>
          <w:tcPr>
            <w:tcW w:w="5369" w:type="dxa"/>
            <w:tcBorders>
              <w:top w:val="single" w:color="auto" w:sz="4" w:space="0"/>
              <w:left w:val="single" w:color="auto" w:sz="4" w:space="0"/>
              <w:bottom w:val="single" w:color="auto" w:sz="4" w:space="0"/>
              <w:right w:val="single" w:color="auto" w:sz="4" w:space="0"/>
            </w:tcBorders>
            <w:vAlign w:val="center"/>
          </w:tcPr>
          <w:p w14:paraId="05E48A3E">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供应商须知前附表1.3.3项规定</w:t>
            </w:r>
          </w:p>
        </w:tc>
      </w:tr>
      <w:tr w14:paraId="56976B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17FDB45F">
            <w:pPr>
              <w:pStyle w:val="57"/>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4643DE19">
            <w:pPr>
              <w:pStyle w:val="57"/>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54E510A5">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磋商</w:t>
            </w:r>
            <w:r>
              <w:rPr>
                <w:rFonts w:hint="eastAsia" w:ascii="宋体" w:hAnsi="宋体" w:eastAsia="宋体" w:cs="宋体"/>
                <w:color w:val="auto"/>
                <w:sz w:val="22"/>
                <w:szCs w:val="22"/>
                <w:highlight w:val="none"/>
              </w:rPr>
              <w:t>有效期</w:t>
            </w:r>
          </w:p>
        </w:tc>
        <w:tc>
          <w:tcPr>
            <w:tcW w:w="5369" w:type="dxa"/>
            <w:tcBorders>
              <w:top w:val="single" w:color="auto" w:sz="4" w:space="0"/>
              <w:left w:val="single" w:color="auto" w:sz="4" w:space="0"/>
              <w:bottom w:val="single" w:color="auto" w:sz="4" w:space="0"/>
              <w:right w:val="single" w:color="auto" w:sz="4" w:space="0"/>
            </w:tcBorders>
            <w:vAlign w:val="center"/>
          </w:tcPr>
          <w:p w14:paraId="170D830A">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.1项规定</w:t>
            </w:r>
          </w:p>
        </w:tc>
      </w:tr>
      <w:tr w14:paraId="0F3AE9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215661CF">
            <w:pPr>
              <w:pStyle w:val="57"/>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61B99B02">
            <w:pPr>
              <w:pStyle w:val="57"/>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25E8A70A">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权利义务</w:t>
            </w:r>
          </w:p>
        </w:tc>
        <w:tc>
          <w:tcPr>
            <w:tcW w:w="5369" w:type="dxa"/>
            <w:tcBorders>
              <w:top w:val="single" w:color="auto" w:sz="4" w:space="0"/>
              <w:left w:val="single" w:color="auto" w:sz="4" w:space="0"/>
              <w:bottom w:val="single" w:color="auto" w:sz="4" w:space="0"/>
              <w:right w:val="single" w:color="auto" w:sz="4" w:space="0"/>
            </w:tcBorders>
            <w:vAlign w:val="center"/>
          </w:tcPr>
          <w:p w14:paraId="0DFBFAF4">
            <w:pPr>
              <w:keepNext w:val="0"/>
              <w:keepLines w:val="0"/>
              <w:pageBreakBefore w:val="0"/>
              <w:numPr>
                <w:ilvl w:val="0"/>
                <w:numId w:val="0"/>
              </w:numPr>
              <w:tabs>
                <w:tab w:val="left" w:pos="4141"/>
              </w:tabs>
              <w:kinsoku/>
              <w:wordWrap/>
              <w:overflowPunct/>
              <w:topLinePunct w:val="0"/>
              <w:autoSpaceDE w:val="0"/>
              <w:autoSpaceDN w:val="0"/>
              <w:bidi w:val="0"/>
              <w:adjustRightInd/>
              <w:snapToGrid/>
              <w:spacing w:before="62" w:line="288" w:lineRule="auto"/>
              <w:jc w:val="center"/>
              <w:textAlignment w:val="auto"/>
              <w:outlineLvl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符合第四章“</w:t>
            </w:r>
            <w:r>
              <w:rPr>
                <w:rFonts w:hint="eastAsia" w:ascii="宋体" w:hAnsi="宋体" w:eastAsia="宋体" w:cs="宋体"/>
                <w:color w:val="auto"/>
                <w:sz w:val="22"/>
                <w:szCs w:val="22"/>
                <w:highlight w:val="none"/>
                <w:lang w:eastAsia="zh-CN"/>
              </w:rPr>
              <w:t>合同条款及格式</w:t>
            </w:r>
            <w:r>
              <w:rPr>
                <w:rFonts w:hint="eastAsia" w:ascii="宋体" w:hAnsi="宋体" w:eastAsia="宋体" w:cs="宋体"/>
                <w:color w:val="auto"/>
                <w:sz w:val="22"/>
                <w:szCs w:val="22"/>
                <w:highlight w:val="none"/>
                <w:lang w:val="en-US" w:eastAsia="zh-CN"/>
              </w:rPr>
              <w:t>”</w:t>
            </w:r>
          </w:p>
        </w:tc>
      </w:tr>
      <w:tr w14:paraId="3F8469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5EB5D328">
            <w:pPr>
              <w:pStyle w:val="57"/>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0D5385FC">
            <w:pPr>
              <w:pStyle w:val="57"/>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2B72C9A0">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default" w:cs="宋体"/>
                <w:color w:val="auto"/>
                <w:sz w:val="22"/>
                <w:szCs w:val="22"/>
                <w:highlight w:val="none"/>
                <w:lang w:val="en-US" w:eastAsia="zh-CN"/>
              </w:rPr>
            </w:pPr>
            <w:r>
              <w:rPr>
                <w:rFonts w:hint="eastAsia" w:cs="宋体"/>
                <w:color w:val="auto"/>
                <w:sz w:val="22"/>
                <w:szCs w:val="22"/>
                <w:highlight w:val="none"/>
                <w:lang w:val="en-US" w:eastAsia="zh-CN"/>
              </w:rPr>
              <w:t>技术标准和要求</w:t>
            </w:r>
          </w:p>
        </w:tc>
        <w:tc>
          <w:tcPr>
            <w:tcW w:w="5369" w:type="dxa"/>
            <w:tcBorders>
              <w:top w:val="single" w:color="auto" w:sz="4" w:space="0"/>
              <w:left w:val="single" w:color="auto" w:sz="4" w:space="0"/>
              <w:bottom w:val="single" w:color="auto" w:sz="4" w:space="0"/>
              <w:right w:val="single" w:color="auto" w:sz="4" w:space="0"/>
            </w:tcBorders>
            <w:vAlign w:val="center"/>
          </w:tcPr>
          <w:p w14:paraId="7174F590">
            <w:pPr>
              <w:keepNext w:val="0"/>
              <w:keepLines w:val="0"/>
              <w:pageBreakBefore w:val="0"/>
              <w:numPr>
                <w:ilvl w:val="0"/>
                <w:numId w:val="0"/>
              </w:numPr>
              <w:tabs>
                <w:tab w:val="left" w:pos="4141"/>
              </w:tabs>
              <w:kinsoku/>
              <w:wordWrap/>
              <w:overflowPunct/>
              <w:topLinePunct w:val="0"/>
              <w:autoSpaceDE w:val="0"/>
              <w:autoSpaceDN w:val="0"/>
              <w:bidi w:val="0"/>
              <w:adjustRightInd/>
              <w:snapToGrid/>
              <w:spacing w:before="62" w:line="288" w:lineRule="auto"/>
              <w:jc w:val="center"/>
              <w:textAlignment w:val="auto"/>
              <w:outlineLvl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 w:eastAsia="zh-CN"/>
              </w:rPr>
              <w:t>符合第</w:t>
            </w:r>
            <w:r>
              <w:rPr>
                <w:rFonts w:hint="eastAsia" w:cs="宋体"/>
                <w:color w:val="auto"/>
                <w:sz w:val="22"/>
                <w:szCs w:val="22"/>
                <w:highlight w:val="none"/>
                <w:lang w:val="en-US" w:eastAsia="zh-CN"/>
              </w:rPr>
              <w:t>五</w:t>
            </w:r>
            <w:r>
              <w:rPr>
                <w:rFonts w:hint="eastAsia" w:ascii="宋体" w:hAnsi="宋体" w:eastAsia="宋体" w:cs="宋体"/>
                <w:color w:val="auto"/>
                <w:sz w:val="22"/>
                <w:szCs w:val="22"/>
                <w:highlight w:val="none"/>
                <w:lang w:val="en" w:eastAsia="zh-CN"/>
              </w:rPr>
              <w:t>章“技术标准和要求”规定</w:t>
            </w:r>
          </w:p>
        </w:tc>
      </w:tr>
      <w:tr w14:paraId="15DE6E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713A8FB2">
            <w:pPr>
              <w:pStyle w:val="57"/>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7E320F19">
            <w:pPr>
              <w:pStyle w:val="57"/>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5387172D">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其它实质性条款</w:t>
            </w:r>
          </w:p>
        </w:tc>
        <w:tc>
          <w:tcPr>
            <w:tcW w:w="5369" w:type="dxa"/>
            <w:tcBorders>
              <w:top w:val="single" w:color="auto" w:sz="4" w:space="0"/>
              <w:left w:val="single" w:color="auto" w:sz="4" w:space="0"/>
              <w:bottom w:val="single" w:color="auto" w:sz="4" w:space="0"/>
              <w:right w:val="single" w:color="auto" w:sz="4" w:space="0"/>
            </w:tcBorders>
            <w:vAlign w:val="center"/>
          </w:tcPr>
          <w:p w14:paraId="78DAB613">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符合竞争性磋商文件中规定的其它实质性条款</w:t>
            </w:r>
          </w:p>
        </w:tc>
      </w:tr>
    </w:tbl>
    <w:p w14:paraId="34F38E49">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C7C47A5">
      <w:pPr>
        <w:spacing w:before="186" w:line="360" w:lineRule="auto"/>
        <w:ind w:right="144"/>
        <w:jc w:val="center"/>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二、详细评审办法</w:t>
      </w:r>
    </w:p>
    <w:tbl>
      <w:tblPr>
        <w:tblStyle w:val="33"/>
        <w:tblW w:w="981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79"/>
        <w:gridCol w:w="2556"/>
        <w:gridCol w:w="6084"/>
      </w:tblGrid>
      <w:tr w14:paraId="319758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tcPr>
          <w:p w14:paraId="30CA9E20">
            <w:pPr>
              <w:spacing w:line="360" w:lineRule="auto"/>
              <w:jc w:val="center"/>
              <w:rPr>
                <w:rFonts w:hint="eastAsia" w:ascii="宋体" w:hAnsi="宋体" w:eastAsia="宋体" w:cs="宋体"/>
                <w:b/>
                <w:color w:val="auto"/>
                <w:sz w:val="22"/>
                <w:szCs w:val="22"/>
                <w:highlight w:val="none"/>
              </w:rPr>
            </w:pPr>
            <w:bookmarkStart w:id="53" w:name="_Toc27524"/>
            <w:r>
              <w:rPr>
                <w:rFonts w:hint="eastAsia" w:ascii="宋体" w:hAnsi="宋体" w:eastAsia="宋体" w:cs="宋体"/>
                <w:b/>
                <w:color w:val="auto"/>
                <w:sz w:val="22"/>
                <w:szCs w:val="22"/>
                <w:highlight w:val="none"/>
              </w:rPr>
              <w:t>分项</w:t>
            </w:r>
          </w:p>
        </w:tc>
        <w:tc>
          <w:tcPr>
            <w:tcW w:w="2556" w:type="dxa"/>
          </w:tcPr>
          <w:p w14:paraId="78C354E6">
            <w:pPr>
              <w:spacing w:line="360" w:lineRule="auto"/>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评审内容</w:t>
            </w:r>
            <w:r>
              <w:rPr>
                <w:rFonts w:hint="eastAsia" w:ascii="宋体" w:hAnsi="宋体" w:eastAsia="宋体" w:cs="宋体"/>
                <w:b/>
                <w:color w:val="auto"/>
                <w:sz w:val="22"/>
                <w:szCs w:val="22"/>
                <w:highlight w:val="none"/>
                <w:lang w:eastAsia="zh-CN"/>
              </w:rPr>
              <w:t>及分值</w:t>
            </w:r>
          </w:p>
        </w:tc>
        <w:tc>
          <w:tcPr>
            <w:tcW w:w="6084" w:type="dxa"/>
          </w:tcPr>
          <w:p w14:paraId="57ABCB23">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评分标准</w:t>
            </w:r>
          </w:p>
        </w:tc>
      </w:tr>
      <w:tr w14:paraId="1F50EA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14:paraId="60DD58BC">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价格部分</w:t>
            </w:r>
            <w:r>
              <w:rPr>
                <w:rFonts w:hint="eastAsia" w:ascii="宋体" w:hAnsi="宋体" w:eastAsia="宋体" w:cs="宋体"/>
                <w:color w:val="auto"/>
                <w:sz w:val="22"/>
                <w:szCs w:val="22"/>
                <w:highlight w:val="none"/>
                <w:lang w:eastAsia="zh-CN"/>
              </w:rPr>
              <w:t>（</w:t>
            </w:r>
            <w:r>
              <w:rPr>
                <w:rFonts w:hint="eastAsia" w:cs="宋体"/>
                <w:color w:val="auto"/>
                <w:sz w:val="22"/>
                <w:szCs w:val="22"/>
                <w:highlight w:val="none"/>
                <w:lang w:val="en-US" w:eastAsia="zh-CN"/>
              </w:rPr>
              <w:t>15</w:t>
            </w:r>
            <w:r>
              <w:rPr>
                <w:rFonts w:hint="eastAsia" w:ascii="宋体" w:hAnsi="宋体" w:eastAsia="宋体" w:cs="宋体"/>
                <w:color w:val="auto"/>
                <w:sz w:val="22"/>
                <w:szCs w:val="22"/>
                <w:highlight w:val="none"/>
                <w:lang w:eastAsia="zh-CN"/>
              </w:rPr>
              <w:t>分）</w:t>
            </w:r>
          </w:p>
        </w:tc>
        <w:tc>
          <w:tcPr>
            <w:tcW w:w="2556" w:type="dxa"/>
            <w:vAlign w:val="center"/>
          </w:tcPr>
          <w:p w14:paraId="4841099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磋商</w:t>
            </w:r>
            <w:r>
              <w:rPr>
                <w:rFonts w:hint="eastAsia" w:ascii="宋体" w:hAnsi="宋体" w:eastAsia="宋体" w:cs="宋体"/>
                <w:color w:val="auto"/>
                <w:sz w:val="22"/>
                <w:szCs w:val="22"/>
                <w:highlight w:val="none"/>
              </w:rPr>
              <w:t>报价</w:t>
            </w:r>
            <w:r>
              <w:rPr>
                <w:rFonts w:hint="eastAsia" w:ascii="宋体" w:hAnsi="宋体" w:eastAsia="宋体" w:cs="宋体"/>
                <w:color w:val="auto"/>
                <w:sz w:val="22"/>
                <w:szCs w:val="22"/>
                <w:highlight w:val="none"/>
                <w:lang w:eastAsia="zh-CN"/>
              </w:rPr>
              <w:t>（</w:t>
            </w:r>
            <w:r>
              <w:rPr>
                <w:rFonts w:hint="eastAsia" w:cs="宋体"/>
                <w:color w:val="auto"/>
                <w:sz w:val="22"/>
                <w:szCs w:val="22"/>
                <w:highlight w:val="none"/>
                <w:lang w:val="en-US" w:eastAsia="zh-CN"/>
              </w:rPr>
              <w:t>15</w:t>
            </w:r>
            <w:r>
              <w:rPr>
                <w:rFonts w:hint="eastAsia" w:ascii="宋体" w:hAnsi="宋体" w:eastAsia="宋体" w:cs="宋体"/>
                <w:color w:val="auto"/>
                <w:sz w:val="22"/>
                <w:szCs w:val="22"/>
                <w:highlight w:val="none"/>
                <w:lang w:eastAsia="zh-CN"/>
              </w:rPr>
              <w:t>分）</w:t>
            </w:r>
          </w:p>
        </w:tc>
        <w:tc>
          <w:tcPr>
            <w:tcW w:w="6084" w:type="dxa"/>
          </w:tcPr>
          <w:p w14:paraId="333C44F7">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价格分统一采用低价优先法计算，即满足</w:t>
            </w:r>
            <w:r>
              <w:rPr>
                <w:rFonts w:hint="eastAsia" w:ascii="宋体" w:hAnsi="宋体" w:eastAsia="宋体" w:cs="宋体"/>
                <w:color w:val="auto"/>
                <w:sz w:val="22"/>
                <w:szCs w:val="22"/>
                <w:highlight w:val="none"/>
                <w:lang w:val="en-US" w:eastAsia="zh-CN"/>
              </w:rPr>
              <w:t>磋商</w:t>
            </w:r>
            <w:r>
              <w:rPr>
                <w:rFonts w:hint="eastAsia" w:ascii="宋体" w:hAnsi="宋体" w:eastAsia="宋体" w:cs="宋体"/>
                <w:color w:val="auto"/>
                <w:sz w:val="22"/>
                <w:szCs w:val="22"/>
                <w:highlight w:val="none"/>
                <w:lang w:val="en" w:eastAsia="zh-CN"/>
              </w:rPr>
              <w:t>文件</w:t>
            </w:r>
            <w:r>
              <w:rPr>
                <w:rFonts w:hint="eastAsia" w:ascii="宋体" w:hAnsi="宋体" w:eastAsia="宋体" w:cs="宋体"/>
                <w:color w:val="auto"/>
                <w:sz w:val="22"/>
                <w:szCs w:val="22"/>
                <w:highlight w:val="none"/>
                <w:lang w:eastAsia="zh-CN"/>
              </w:rPr>
              <w:t>要求且</w:t>
            </w:r>
            <w:r>
              <w:rPr>
                <w:rFonts w:hint="eastAsia" w:ascii="宋体" w:hAnsi="宋体" w:eastAsia="宋体" w:cs="宋体"/>
                <w:color w:val="auto"/>
                <w:sz w:val="22"/>
                <w:szCs w:val="22"/>
                <w:highlight w:val="none"/>
                <w:lang w:val="en-US" w:eastAsia="zh-CN"/>
              </w:rPr>
              <w:t>最终报价</w:t>
            </w:r>
            <w:r>
              <w:rPr>
                <w:rFonts w:hint="eastAsia" w:ascii="宋体" w:hAnsi="宋体" w:eastAsia="宋体" w:cs="宋体"/>
                <w:color w:val="auto"/>
                <w:sz w:val="22"/>
                <w:szCs w:val="22"/>
                <w:highlight w:val="none"/>
                <w:lang w:eastAsia="zh-CN"/>
              </w:rPr>
              <w:t>最低的为</w:t>
            </w:r>
            <w:r>
              <w:rPr>
                <w:rFonts w:hint="eastAsia" w:cs="宋体"/>
                <w:color w:val="auto"/>
                <w:sz w:val="22"/>
                <w:szCs w:val="22"/>
                <w:highlight w:val="none"/>
                <w:lang w:val="en-US" w:eastAsia="zh-CN"/>
              </w:rPr>
              <w:t>评审</w:t>
            </w:r>
            <w:r>
              <w:rPr>
                <w:rFonts w:hint="eastAsia" w:ascii="宋体" w:hAnsi="宋体" w:eastAsia="宋体" w:cs="宋体"/>
                <w:color w:val="auto"/>
                <w:sz w:val="22"/>
                <w:szCs w:val="22"/>
                <w:highlight w:val="none"/>
                <w:lang w:eastAsia="zh-CN"/>
              </w:rPr>
              <w:t>基准价，其价格分为满分。其他</w:t>
            </w:r>
            <w:r>
              <w:rPr>
                <w:rFonts w:hint="eastAsia" w:ascii="宋体" w:hAnsi="宋体" w:eastAsia="宋体" w:cs="宋体"/>
                <w:color w:val="auto"/>
                <w:sz w:val="22"/>
                <w:szCs w:val="22"/>
                <w:highlight w:val="none"/>
                <w:lang w:val="en" w:eastAsia="zh-CN"/>
              </w:rPr>
              <w:t>供应商</w:t>
            </w:r>
            <w:r>
              <w:rPr>
                <w:rFonts w:hint="eastAsia" w:ascii="宋体" w:hAnsi="宋体" w:eastAsia="宋体" w:cs="宋体"/>
                <w:color w:val="auto"/>
                <w:sz w:val="22"/>
                <w:szCs w:val="22"/>
                <w:highlight w:val="none"/>
                <w:lang w:eastAsia="zh-CN"/>
              </w:rPr>
              <w:t>的价格分统一按照下列公式计算</w:t>
            </w:r>
            <w:r>
              <w:rPr>
                <w:rFonts w:hint="eastAsia" w:cs="宋体"/>
                <w:color w:val="auto"/>
                <w:sz w:val="22"/>
                <w:szCs w:val="22"/>
                <w:highlight w:val="none"/>
                <w:lang w:eastAsia="zh-CN"/>
              </w:rPr>
              <w:t>：</w:t>
            </w:r>
          </w:p>
          <w:p w14:paraId="62AF5D38">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磋商</w:t>
            </w:r>
            <w:r>
              <w:rPr>
                <w:rFonts w:hint="eastAsia" w:ascii="宋体" w:hAnsi="宋体" w:eastAsia="宋体" w:cs="宋体"/>
                <w:color w:val="auto"/>
                <w:sz w:val="22"/>
                <w:szCs w:val="22"/>
                <w:highlight w:val="none"/>
                <w:lang w:eastAsia="zh-CN"/>
              </w:rPr>
              <w:t>报价得分=(</w:t>
            </w:r>
            <w:r>
              <w:rPr>
                <w:rFonts w:hint="eastAsia" w:cs="宋体"/>
                <w:color w:val="auto"/>
                <w:sz w:val="22"/>
                <w:szCs w:val="22"/>
                <w:highlight w:val="none"/>
                <w:lang w:val="en-US" w:eastAsia="zh-CN"/>
              </w:rPr>
              <w:t>评审</w:t>
            </w:r>
            <w:r>
              <w:rPr>
                <w:rFonts w:hint="eastAsia" w:ascii="宋体" w:hAnsi="宋体" w:eastAsia="宋体" w:cs="宋体"/>
                <w:color w:val="auto"/>
                <w:sz w:val="22"/>
                <w:szCs w:val="22"/>
                <w:highlight w:val="none"/>
                <w:lang w:eastAsia="zh-CN"/>
              </w:rPr>
              <w:t>基准价/</w:t>
            </w:r>
            <w:r>
              <w:rPr>
                <w:rFonts w:hint="eastAsia" w:ascii="宋体" w:hAnsi="宋体" w:eastAsia="宋体" w:cs="宋体"/>
                <w:color w:val="auto"/>
                <w:sz w:val="22"/>
                <w:szCs w:val="22"/>
                <w:highlight w:val="none"/>
                <w:lang w:val="en-US" w:eastAsia="zh-CN"/>
              </w:rPr>
              <w:t>磋商</w:t>
            </w:r>
            <w:r>
              <w:rPr>
                <w:rFonts w:hint="eastAsia" w:ascii="宋体" w:hAnsi="宋体" w:eastAsia="宋体" w:cs="宋体"/>
                <w:color w:val="auto"/>
                <w:sz w:val="22"/>
                <w:szCs w:val="22"/>
                <w:highlight w:val="none"/>
                <w:lang w:eastAsia="zh-CN"/>
              </w:rPr>
              <w:t>报价)×</w:t>
            </w:r>
            <w:r>
              <w:rPr>
                <w:rFonts w:hint="eastAsia" w:cs="宋体"/>
                <w:color w:val="auto"/>
                <w:sz w:val="22"/>
                <w:szCs w:val="22"/>
                <w:highlight w:val="none"/>
                <w:lang w:val="en-US" w:eastAsia="zh-CN"/>
              </w:rPr>
              <w:t>15</w:t>
            </w:r>
          </w:p>
          <w:p w14:paraId="620C2D4A">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备注</w:t>
            </w:r>
            <w:r>
              <w:rPr>
                <w:rFonts w:hint="eastAsia" w:cs="宋体"/>
                <w:color w:val="auto"/>
                <w:sz w:val="22"/>
                <w:szCs w:val="22"/>
                <w:highlight w:val="none"/>
                <w:lang w:eastAsia="zh-CN"/>
              </w:rPr>
              <w:t>：</w:t>
            </w:r>
          </w:p>
          <w:p w14:paraId="5ECEB4AF">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磋商小组</w:t>
            </w:r>
            <w:r>
              <w:rPr>
                <w:rFonts w:hint="eastAsia" w:ascii="宋体" w:hAnsi="宋体" w:eastAsia="宋体" w:cs="宋体"/>
                <w:color w:val="auto"/>
                <w:sz w:val="22"/>
                <w:szCs w:val="22"/>
                <w:highlight w:val="none"/>
                <w:lang w:val="zh-TW" w:eastAsia="zh-CN"/>
              </w:rPr>
              <w:t>认为</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zh-TW" w:eastAsia="zh-CN"/>
              </w:rPr>
              <w:t>的报价明显低于其他通过符合性审查</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zh-TW" w:eastAsia="zh-CN"/>
              </w:rPr>
              <w:t>的报价，有可能影响质量、影响安全施工或者不能诚信履约的，应当要求其在合理的时间内提供书面说明，并提交相关证明材料；</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zh-TW" w:eastAsia="zh-CN"/>
              </w:rPr>
              <w:t>不能合理说明或不能提交有力证明材料证明其报价合理性的，</w:t>
            </w:r>
            <w:r>
              <w:rPr>
                <w:rFonts w:hint="eastAsia" w:ascii="宋体" w:hAnsi="宋体" w:eastAsia="宋体" w:cs="宋体"/>
                <w:color w:val="auto"/>
                <w:sz w:val="22"/>
                <w:szCs w:val="22"/>
                <w:highlight w:val="none"/>
                <w:lang w:val="en-US" w:eastAsia="zh-CN"/>
              </w:rPr>
              <w:t>磋商小组</w:t>
            </w:r>
            <w:r>
              <w:rPr>
                <w:rFonts w:hint="eastAsia" w:ascii="宋体" w:hAnsi="宋体" w:eastAsia="宋体" w:cs="宋体"/>
                <w:color w:val="auto"/>
                <w:sz w:val="22"/>
                <w:szCs w:val="22"/>
                <w:highlight w:val="none"/>
                <w:lang w:val="zh-TW" w:eastAsia="zh-CN"/>
              </w:rPr>
              <w:t>应当将其作为无效</w:t>
            </w: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lang w:val="zh-TW" w:eastAsia="zh-CN"/>
              </w:rPr>
              <w:t>处理。</w:t>
            </w:r>
          </w:p>
        </w:tc>
      </w:tr>
      <w:tr w14:paraId="3626F1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6" w:hRule="atLeast"/>
          <w:jc w:val="center"/>
        </w:trPr>
        <w:tc>
          <w:tcPr>
            <w:tcW w:w="1179" w:type="dxa"/>
            <w:vMerge w:val="restart"/>
            <w:vAlign w:val="center"/>
          </w:tcPr>
          <w:p w14:paraId="4532F279">
            <w:pPr>
              <w:spacing w:line="360" w:lineRule="auto"/>
              <w:jc w:val="center"/>
              <w:rPr>
                <w:rFonts w:hint="eastAsia" w:ascii="宋体" w:hAnsi="宋体" w:eastAsia="宋体" w:cs="宋体"/>
                <w:color w:val="auto"/>
                <w:sz w:val="22"/>
                <w:szCs w:val="22"/>
                <w:highlight w:val="none"/>
                <w:lang w:eastAsia="zh-CN"/>
              </w:rPr>
            </w:pPr>
          </w:p>
          <w:p w14:paraId="0022BA7C">
            <w:pPr>
              <w:spacing w:line="360" w:lineRule="auto"/>
              <w:jc w:val="center"/>
              <w:rPr>
                <w:rFonts w:hint="eastAsia" w:ascii="宋体" w:hAnsi="宋体" w:eastAsia="宋体" w:cs="宋体"/>
                <w:color w:val="auto"/>
                <w:sz w:val="22"/>
                <w:szCs w:val="22"/>
                <w:highlight w:val="none"/>
                <w:lang w:eastAsia="zh-CN"/>
              </w:rPr>
            </w:pPr>
          </w:p>
          <w:p w14:paraId="2E815362">
            <w:pPr>
              <w:spacing w:line="360" w:lineRule="auto"/>
              <w:jc w:val="center"/>
              <w:rPr>
                <w:rFonts w:hint="eastAsia" w:ascii="宋体" w:hAnsi="宋体" w:eastAsia="宋体" w:cs="宋体"/>
                <w:color w:val="auto"/>
                <w:sz w:val="22"/>
                <w:szCs w:val="22"/>
                <w:highlight w:val="none"/>
                <w:lang w:eastAsia="zh-CN"/>
              </w:rPr>
            </w:pPr>
          </w:p>
          <w:p w14:paraId="60B8B3A4">
            <w:pPr>
              <w:spacing w:line="360" w:lineRule="auto"/>
              <w:jc w:val="center"/>
              <w:rPr>
                <w:rFonts w:hint="eastAsia" w:ascii="宋体" w:hAnsi="宋体" w:eastAsia="宋体" w:cs="宋体"/>
                <w:color w:val="auto"/>
                <w:sz w:val="22"/>
                <w:szCs w:val="22"/>
                <w:highlight w:val="none"/>
                <w:lang w:eastAsia="zh-CN"/>
              </w:rPr>
            </w:pPr>
          </w:p>
          <w:p w14:paraId="381728A8">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技术部分（</w:t>
            </w:r>
            <w:r>
              <w:rPr>
                <w:rFonts w:hint="eastAsia" w:cs="宋体"/>
                <w:color w:val="auto"/>
                <w:sz w:val="22"/>
                <w:szCs w:val="22"/>
                <w:highlight w:val="none"/>
                <w:lang w:val="en-US" w:eastAsia="zh-CN"/>
              </w:rPr>
              <w:t>60</w:t>
            </w:r>
            <w:r>
              <w:rPr>
                <w:rFonts w:hint="eastAsia" w:ascii="宋体" w:hAnsi="宋体" w:eastAsia="宋体" w:cs="宋体"/>
                <w:color w:val="auto"/>
                <w:sz w:val="22"/>
                <w:szCs w:val="22"/>
                <w:highlight w:val="none"/>
                <w:lang w:eastAsia="zh-CN"/>
              </w:rPr>
              <w:t>分）</w:t>
            </w:r>
          </w:p>
          <w:p w14:paraId="2FB3C2DE">
            <w:pPr>
              <w:spacing w:line="360" w:lineRule="auto"/>
              <w:jc w:val="center"/>
              <w:rPr>
                <w:rFonts w:hint="eastAsia" w:ascii="宋体" w:hAnsi="宋体" w:eastAsia="宋体" w:cs="宋体"/>
                <w:color w:val="auto"/>
                <w:sz w:val="22"/>
                <w:szCs w:val="22"/>
                <w:highlight w:val="none"/>
                <w:lang w:eastAsia="zh-CN"/>
              </w:rPr>
            </w:pPr>
          </w:p>
          <w:p w14:paraId="39DDFBAE">
            <w:pPr>
              <w:spacing w:line="360" w:lineRule="auto"/>
              <w:jc w:val="center"/>
              <w:rPr>
                <w:rFonts w:hint="eastAsia" w:ascii="宋体" w:hAnsi="宋体" w:eastAsia="宋体" w:cs="宋体"/>
                <w:color w:val="auto"/>
                <w:sz w:val="22"/>
                <w:szCs w:val="22"/>
                <w:highlight w:val="none"/>
                <w:lang w:eastAsia="zh-CN"/>
              </w:rPr>
            </w:pPr>
          </w:p>
          <w:p w14:paraId="629648D5">
            <w:pPr>
              <w:spacing w:line="360" w:lineRule="auto"/>
              <w:jc w:val="center"/>
              <w:rPr>
                <w:rFonts w:hint="eastAsia" w:ascii="宋体" w:hAnsi="宋体" w:eastAsia="宋体" w:cs="宋体"/>
                <w:color w:val="auto"/>
                <w:sz w:val="22"/>
                <w:szCs w:val="22"/>
                <w:highlight w:val="none"/>
                <w:lang w:eastAsia="zh-CN"/>
              </w:rPr>
            </w:pPr>
          </w:p>
          <w:p w14:paraId="79171B53">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201F2E8F">
            <w:pPr>
              <w:spacing w:line="400" w:lineRule="exact"/>
              <w:rPr>
                <w:rFonts w:hint="eastAsia" w:ascii="宋体" w:hAnsi="宋体" w:eastAsia="宋体" w:cs="宋体"/>
                <w:color w:val="auto"/>
                <w:sz w:val="22"/>
                <w:szCs w:val="22"/>
                <w:highlight w:val="none"/>
                <w:lang w:val="en-US" w:eastAsia="zh-CN"/>
              </w:rPr>
            </w:pPr>
            <w:r>
              <w:rPr>
                <w:rFonts w:hint="eastAsia" w:ascii="宋体" w:hAnsi="宋体" w:eastAsia="宋体" w:cs="宋体"/>
                <w:szCs w:val="21"/>
                <w:lang w:val="en-US" w:eastAsia="zh-CN"/>
              </w:rPr>
              <w:t>监理机构设置及岗位职责（6分）</w:t>
            </w:r>
          </w:p>
        </w:tc>
        <w:tc>
          <w:tcPr>
            <w:tcW w:w="6084" w:type="dxa"/>
            <w:vAlign w:val="center"/>
          </w:tcPr>
          <w:p w14:paraId="4922E0B4">
            <w:pPr>
              <w:spacing w:line="400" w:lineRule="exact"/>
              <w:rPr>
                <w:rFonts w:hint="eastAsia" w:ascii="宋体" w:hAnsi="宋体" w:eastAsia="宋体" w:cs="宋体"/>
                <w:szCs w:val="21"/>
              </w:rPr>
            </w:pPr>
            <w:r>
              <w:rPr>
                <w:rFonts w:hint="eastAsia" w:ascii="宋体" w:hAnsi="宋体" w:eastAsia="宋体" w:cs="宋体"/>
                <w:szCs w:val="21"/>
                <w:lang w:val="en-US" w:eastAsia="zh-CN"/>
              </w:rPr>
              <w:t>监理机构设置合理、岗位人员岗位职责明确的得6分；</w:t>
            </w:r>
          </w:p>
          <w:p w14:paraId="2B3392E3">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监理机构设置基本合理、岗位人员岗位职责基本明确的得4分；</w:t>
            </w:r>
          </w:p>
          <w:p w14:paraId="20C7D196">
            <w:pPr>
              <w:spacing w:line="400" w:lineRule="exact"/>
              <w:rPr>
                <w:rFonts w:hint="eastAsia" w:ascii="宋体" w:hAnsi="宋体" w:eastAsia="宋体" w:cs="宋体"/>
                <w:szCs w:val="21"/>
              </w:rPr>
            </w:pPr>
            <w:r>
              <w:rPr>
                <w:rFonts w:hint="eastAsia" w:ascii="宋体" w:hAnsi="宋体" w:eastAsia="宋体" w:cs="宋体"/>
                <w:szCs w:val="21"/>
                <w:lang w:val="en-US" w:eastAsia="zh-CN"/>
              </w:rPr>
              <w:t>监理机构设置不合理、岗位人员岗位职责不明确的得2分；</w:t>
            </w:r>
          </w:p>
          <w:p w14:paraId="38853D98">
            <w:pPr>
              <w:spacing w:line="400" w:lineRule="exact"/>
              <w:rPr>
                <w:rFonts w:hint="eastAsia" w:ascii="宋体" w:hAnsi="宋体" w:eastAsia="宋体" w:cs="宋体"/>
                <w:color w:val="auto"/>
                <w:sz w:val="22"/>
                <w:szCs w:val="22"/>
                <w:highlight w:val="none"/>
                <w:lang w:val="en-US" w:eastAsia="zh-CN"/>
              </w:rPr>
            </w:pPr>
            <w:r>
              <w:rPr>
                <w:rFonts w:hint="eastAsia" w:ascii="宋体" w:hAnsi="宋体" w:eastAsia="宋体" w:cs="宋体"/>
                <w:szCs w:val="21"/>
                <w:lang w:val="en-US" w:eastAsia="zh-CN"/>
              </w:rPr>
              <w:t>缺项不得分。</w:t>
            </w:r>
          </w:p>
        </w:tc>
      </w:tr>
      <w:tr w14:paraId="7B9172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4" w:hRule="atLeast"/>
          <w:jc w:val="center"/>
        </w:trPr>
        <w:tc>
          <w:tcPr>
            <w:tcW w:w="1179" w:type="dxa"/>
            <w:vMerge w:val="continue"/>
            <w:vAlign w:val="center"/>
          </w:tcPr>
          <w:p w14:paraId="32A370A6">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3B7461E9">
            <w:pPr>
              <w:spacing w:line="400" w:lineRule="exact"/>
              <w:rPr>
                <w:rFonts w:hint="eastAsia" w:ascii="宋体" w:hAnsi="宋体" w:eastAsia="宋体" w:cs="宋体"/>
                <w:szCs w:val="21"/>
                <w:lang w:val="en-US" w:eastAsia="zh-CN"/>
              </w:rPr>
            </w:pPr>
            <w:r>
              <w:rPr>
                <w:rFonts w:hint="eastAsia" w:ascii="宋体" w:hAnsi="宋体" w:eastAsia="宋体" w:cs="宋体"/>
                <w:szCs w:val="21"/>
              </w:rPr>
              <w:t>质量控制的措施和方法</w:t>
            </w:r>
            <w:r>
              <w:rPr>
                <w:rFonts w:hint="eastAsia" w:ascii="宋体" w:hAnsi="宋体" w:eastAsia="宋体" w:cs="宋体"/>
                <w:szCs w:val="21"/>
                <w:lang w:eastAsia="zh-CN"/>
              </w:rPr>
              <w:t>（</w:t>
            </w:r>
            <w:r>
              <w:rPr>
                <w:rFonts w:hint="eastAsia" w:ascii="宋体" w:hAnsi="宋体" w:eastAsia="宋体" w:cs="宋体"/>
                <w:szCs w:val="21"/>
                <w:lang w:val="en-US" w:eastAsia="zh-CN"/>
              </w:rPr>
              <w:t>6分</w:t>
            </w:r>
            <w:r>
              <w:rPr>
                <w:rFonts w:hint="eastAsia" w:ascii="宋体" w:hAnsi="宋体" w:eastAsia="宋体" w:cs="宋体"/>
                <w:szCs w:val="21"/>
                <w:lang w:eastAsia="zh-CN"/>
              </w:rPr>
              <w:t>）</w:t>
            </w:r>
          </w:p>
        </w:tc>
        <w:tc>
          <w:tcPr>
            <w:tcW w:w="6084" w:type="dxa"/>
            <w:vAlign w:val="center"/>
          </w:tcPr>
          <w:p w14:paraId="7EDDD3F8">
            <w:pPr>
              <w:spacing w:line="400" w:lineRule="exact"/>
              <w:jc w:val="both"/>
              <w:rPr>
                <w:rFonts w:hint="eastAsia" w:ascii="宋体" w:hAnsi="宋体" w:eastAsia="宋体" w:cs="宋体"/>
                <w:szCs w:val="21"/>
              </w:rPr>
            </w:pPr>
            <w:r>
              <w:rPr>
                <w:rFonts w:hint="eastAsia" w:ascii="宋体" w:hAnsi="宋体" w:eastAsia="宋体" w:cs="宋体"/>
                <w:szCs w:val="21"/>
                <w:lang w:val="en-US" w:eastAsia="zh-CN"/>
              </w:rPr>
              <w:t>针对质量控制所采取的事前、事中、事后控制措施具体、周到得6分；</w:t>
            </w:r>
          </w:p>
          <w:p w14:paraId="174F16DF">
            <w:pPr>
              <w:spacing w:line="400" w:lineRule="exact"/>
              <w:jc w:val="both"/>
              <w:rPr>
                <w:rFonts w:hint="eastAsia" w:ascii="宋体" w:hAnsi="宋体" w:eastAsia="宋体" w:cs="宋体"/>
                <w:szCs w:val="21"/>
              </w:rPr>
            </w:pPr>
            <w:r>
              <w:rPr>
                <w:rFonts w:hint="eastAsia" w:ascii="宋体" w:hAnsi="宋体" w:eastAsia="宋体" w:cs="宋体"/>
                <w:szCs w:val="21"/>
                <w:lang w:val="en-US" w:eastAsia="zh-CN"/>
              </w:rPr>
              <w:t>针对质量控制所采取的事前、事中、事后控制措施基本具体、基本周到得4分；</w:t>
            </w:r>
          </w:p>
          <w:p w14:paraId="6790705F">
            <w:pPr>
              <w:spacing w:line="400" w:lineRule="exact"/>
              <w:jc w:val="both"/>
              <w:rPr>
                <w:rFonts w:hint="eastAsia" w:ascii="宋体" w:hAnsi="宋体" w:eastAsia="宋体" w:cs="宋体"/>
                <w:szCs w:val="21"/>
              </w:rPr>
            </w:pPr>
            <w:r>
              <w:rPr>
                <w:rFonts w:hint="eastAsia" w:ascii="宋体" w:hAnsi="宋体" w:eastAsia="宋体" w:cs="宋体"/>
                <w:szCs w:val="21"/>
                <w:lang w:val="en-US" w:eastAsia="zh-CN"/>
              </w:rPr>
              <w:t>针对质量控制所采取的事前、事中、事后控制措施不具体、不周到得2分；</w:t>
            </w:r>
          </w:p>
          <w:p w14:paraId="675775D5">
            <w:pPr>
              <w:spacing w:line="400" w:lineRule="exact"/>
              <w:jc w:val="both"/>
              <w:rPr>
                <w:rFonts w:hint="eastAsia" w:ascii="宋体" w:hAnsi="宋体" w:eastAsia="宋体" w:cs="宋体"/>
                <w:szCs w:val="21"/>
                <w:lang w:val="en-US" w:eastAsia="zh-CN"/>
              </w:rPr>
            </w:pPr>
            <w:r>
              <w:rPr>
                <w:rFonts w:hint="eastAsia" w:ascii="宋体" w:hAnsi="宋体" w:eastAsia="宋体" w:cs="宋体"/>
                <w:szCs w:val="21"/>
                <w:lang w:val="en-US" w:eastAsia="zh-CN"/>
              </w:rPr>
              <w:t>缺项不得分。</w:t>
            </w:r>
          </w:p>
        </w:tc>
      </w:tr>
      <w:tr w14:paraId="36AA1C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6" w:hRule="atLeast"/>
          <w:jc w:val="center"/>
        </w:trPr>
        <w:tc>
          <w:tcPr>
            <w:tcW w:w="1179" w:type="dxa"/>
            <w:vMerge w:val="continue"/>
            <w:vAlign w:val="center"/>
          </w:tcPr>
          <w:p w14:paraId="434844C9">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4174AC0D">
            <w:pPr>
              <w:spacing w:line="40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szCs w:val="21"/>
              </w:rPr>
              <w:t>工期</w:t>
            </w:r>
            <w:r>
              <w:rPr>
                <w:rFonts w:hint="eastAsia" w:ascii="宋体" w:hAnsi="宋体" w:eastAsia="宋体" w:cs="宋体"/>
                <w:szCs w:val="21"/>
                <w:lang w:val="en-US" w:eastAsia="zh-CN"/>
              </w:rPr>
              <w:t>进度的</w:t>
            </w:r>
            <w:r>
              <w:rPr>
                <w:rFonts w:hint="eastAsia" w:ascii="宋体" w:hAnsi="宋体" w:eastAsia="宋体" w:cs="宋体"/>
                <w:szCs w:val="21"/>
              </w:rPr>
              <w:t>措施和方法</w:t>
            </w:r>
            <w:r>
              <w:rPr>
                <w:rFonts w:hint="eastAsia" w:ascii="宋体" w:hAnsi="宋体" w:eastAsia="宋体" w:cs="宋体"/>
                <w:szCs w:val="21"/>
                <w:lang w:eastAsia="zh-CN"/>
              </w:rPr>
              <w:t>（</w:t>
            </w:r>
            <w:r>
              <w:rPr>
                <w:rFonts w:hint="eastAsia" w:ascii="宋体" w:hAnsi="宋体" w:eastAsia="宋体" w:cs="宋体"/>
                <w:szCs w:val="21"/>
                <w:lang w:val="en-US" w:eastAsia="zh-CN"/>
              </w:rPr>
              <w:t>6</w:t>
            </w:r>
            <w:r>
              <w:rPr>
                <w:rFonts w:hint="eastAsia" w:ascii="宋体" w:hAnsi="宋体" w:eastAsia="宋体" w:cs="宋体"/>
                <w:szCs w:val="21"/>
              </w:rPr>
              <w:t>分</w:t>
            </w:r>
            <w:r>
              <w:rPr>
                <w:rFonts w:hint="eastAsia" w:ascii="宋体" w:hAnsi="宋体" w:eastAsia="宋体" w:cs="宋体"/>
                <w:szCs w:val="21"/>
                <w:lang w:eastAsia="zh-CN"/>
              </w:rPr>
              <w:t>）</w:t>
            </w:r>
          </w:p>
        </w:tc>
        <w:tc>
          <w:tcPr>
            <w:tcW w:w="6084" w:type="dxa"/>
            <w:vAlign w:val="center"/>
          </w:tcPr>
          <w:p w14:paraId="4036B9D4">
            <w:pPr>
              <w:spacing w:line="400" w:lineRule="exact"/>
              <w:jc w:val="both"/>
              <w:rPr>
                <w:rFonts w:hint="eastAsia" w:ascii="宋体" w:hAnsi="宋体" w:eastAsia="宋体" w:cs="宋体"/>
                <w:szCs w:val="21"/>
                <w:lang w:eastAsia="zh-CN"/>
              </w:rPr>
            </w:pPr>
            <w:r>
              <w:rPr>
                <w:rFonts w:hint="eastAsia" w:ascii="宋体" w:hAnsi="宋体" w:eastAsia="宋体" w:cs="宋体"/>
                <w:szCs w:val="21"/>
                <w:lang w:val="en-US" w:eastAsia="zh-CN"/>
              </w:rPr>
              <w:t xml:space="preserve">针对工期进度控制所采取的方法措施科学、合理、可行得6分； </w:t>
            </w:r>
          </w:p>
          <w:p w14:paraId="043902CD">
            <w:pPr>
              <w:spacing w:line="400" w:lineRule="exact"/>
              <w:jc w:val="both"/>
              <w:rPr>
                <w:rFonts w:hint="eastAsia" w:ascii="宋体" w:hAnsi="宋体" w:eastAsia="宋体" w:cs="宋体"/>
                <w:szCs w:val="21"/>
                <w:lang w:eastAsia="zh-CN"/>
              </w:rPr>
            </w:pPr>
            <w:r>
              <w:rPr>
                <w:rFonts w:hint="eastAsia" w:ascii="宋体" w:hAnsi="宋体" w:eastAsia="宋体" w:cs="宋体"/>
                <w:szCs w:val="21"/>
                <w:lang w:val="en-US" w:eastAsia="zh-CN"/>
              </w:rPr>
              <w:t xml:space="preserve">针对工期进度控制所采取的方法措施基本科学、基本合理、基本可行得4分； </w:t>
            </w:r>
          </w:p>
          <w:p w14:paraId="38D999E4">
            <w:pPr>
              <w:spacing w:line="400" w:lineRule="exact"/>
              <w:jc w:val="both"/>
              <w:rPr>
                <w:rFonts w:hint="eastAsia" w:ascii="宋体" w:hAnsi="宋体" w:eastAsia="宋体" w:cs="宋体"/>
                <w:szCs w:val="21"/>
                <w:lang w:eastAsia="zh-CN"/>
              </w:rPr>
            </w:pPr>
            <w:r>
              <w:rPr>
                <w:rFonts w:hint="eastAsia" w:ascii="宋体" w:hAnsi="宋体" w:eastAsia="宋体" w:cs="宋体"/>
                <w:szCs w:val="21"/>
                <w:lang w:val="en-US" w:eastAsia="zh-CN"/>
              </w:rPr>
              <w:t>针对工期进度控制所采取的方法措施不科学、不合理得2分；</w:t>
            </w:r>
          </w:p>
          <w:p w14:paraId="159E0FC2">
            <w:pPr>
              <w:spacing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szCs w:val="21"/>
                <w:lang w:val="en-US" w:eastAsia="zh-CN"/>
              </w:rPr>
              <w:t>缺项不得分。</w:t>
            </w:r>
          </w:p>
        </w:tc>
      </w:tr>
      <w:tr w14:paraId="3AAC83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jc w:val="center"/>
        </w:trPr>
        <w:tc>
          <w:tcPr>
            <w:tcW w:w="1179" w:type="dxa"/>
            <w:vMerge w:val="continue"/>
            <w:vAlign w:val="center"/>
          </w:tcPr>
          <w:p w14:paraId="79566353">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782D9F7F">
            <w:pPr>
              <w:spacing w:line="40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szCs w:val="21"/>
              </w:rPr>
              <w:t>安全管理的措施和方法</w:t>
            </w:r>
            <w:r>
              <w:rPr>
                <w:rFonts w:hint="eastAsia" w:ascii="宋体" w:hAnsi="宋体" w:eastAsia="宋体" w:cs="宋体"/>
                <w:szCs w:val="21"/>
                <w:lang w:eastAsia="zh-CN"/>
              </w:rPr>
              <w:t>（</w:t>
            </w:r>
            <w:r>
              <w:rPr>
                <w:rFonts w:hint="eastAsia" w:ascii="宋体" w:hAnsi="宋体" w:eastAsia="宋体" w:cs="宋体"/>
                <w:szCs w:val="21"/>
                <w:lang w:val="en-US" w:eastAsia="zh-CN"/>
              </w:rPr>
              <w:t>6分</w:t>
            </w:r>
            <w:r>
              <w:rPr>
                <w:rFonts w:hint="eastAsia" w:ascii="宋体" w:hAnsi="宋体" w:eastAsia="宋体" w:cs="宋体"/>
                <w:szCs w:val="21"/>
                <w:lang w:eastAsia="zh-CN"/>
              </w:rPr>
              <w:t>）</w:t>
            </w:r>
          </w:p>
        </w:tc>
        <w:tc>
          <w:tcPr>
            <w:tcW w:w="6084" w:type="dxa"/>
            <w:vAlign w:val="center"/>
          </w:tcPr>
          <w:p w14:paraId="006D5F86">
            <w:pPr>
              <w:spacing w:line="400" w:lineRule="exact"/>
              <w:jc w:val="both"/>
              <w:rPr>
                <w:rFonts w:hint="eastAsia" w:ascii="宋体" w:hAnsi="宋体" w:eastAsia="宋体" w:cs="宋体"/>
                <w:szCs w:val="21"/>
                <w:lang w:eastAsia="zh-CN"/>
              </w:rPr>
            </w:pPr>
            <w:r>
              <w:rPr>
                <w:rFonts w:hint="eastAsia" w:ascii="宋体" w:hAnsi="宋体" w:eastAsia="宋体" w:cs="宋体"/>
                <w:szCs w:val="21"/>
                <w:lang w:val="en-US" w:eastAsia="zh-CN"/>
              </w:rPr>
              <w:t xml:space="preserve">针对安全控制所采取的措施有力、有效、全面、科学等情况得6分； </w:t>
            </w:r>
          </w:p>
          <w:p w14:paraId="70C89B72">
            <w:pPr>
              <w:spacing w:line="400" w:lineRule="exact"/>
              <w:jc w:val="both"/>
              <w:rPr>
                <w:rFonts w:hint="eastAsia" w:ascii="宋体" w:hAnsi="宋体" w:eastAsia="宋体" w:cs="宋体"/>
                <w:szCs w:val="21"/>
                <w:lang w:val="en-US" w:eastAsia="zh-CN"/>
              </w:rPr>
            </w:pPr>
            <w:r>
              <w:rPr>
                <w:rFonts w:hint="eastAsia" w:ascii="宋体" w:hAnsi="宋体" w:eastAsia="宋体" w:cs="宋体"/>
                <w:szCs w:val="21"/>
                <w:lang w:val="en-US" w:eastAsia="zh-CN"/>
              </w:rPr>
              <w:t>针对安全控制所采取的措施基本有力、基本有效、基本全面、基本科学等情况得4分；</w:t>
            </w:r>
          </w:p>
          <w:p w14:paraId="35357CA9">
            <w:pPr>
              <w:spacing w:line="400" w:lineRule="exact"/>
              <w:jc w:val="both"/>
              <w:rPr>
                <w:rFonts w:hint="eastAsia" w:ascii="宋体" w:hAnsi="宋体" w:eastAsia="宋体" w:cs="宋体"/>
                <w:szCs w:val="21"/>
                <w:lang w:eastAsia="zh-CN"/>
              </w:rPr>
            </w:pPr>
            <w:r>
              <w:rPr>
                <w:rFonts w:hint="eastAsia" w:ascii="宋体" w:hAnsi="宋体" w:eastAsia="宋体" w:cs="宋体"/>
                <w:szCs w:val="21"/>
                <w:lang w:val="en-US" w:eastAsia="zh-CN"/>
              </w:rPr>
              <w:t xml:space="preserve">针对安全控制所采取的措施无力、无效、不全面、不科学等情况得2分； </w:t>
            </w:r>
          </w:p>
          <w:p w14:paraId="28E1F452">
            <w:pPr>
              <w:spacing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szCs w:val="21"/>
                <w:lang w:val="en-US" w:eastAsia="zh-CN"/>
              </w:rPr>
              <w:t>缺项不得分。</w:t>
            </w:r>
          </w:p>
        </w:tc>
      </w:tr>
      <w:tr w14:paraId="718FAC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jc w:val="center"/>
        </w:trPr>
        <w:tc>
          <w:tcPr>
            <w:tcW w:w="1179" w:type="dxa"/>
            <w:vMerge w:val="continue"/>
            <w:vAlign w:val="center"/>
          </w:tcPr>
          <w:p w14:paraId="6BD2F04D">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5E9A05BD">
            <w:pPr>
              <w:spacing w:line="40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szCs w:val="21"/>
              </w:rPr>
              <w:t>合同管理、信息管理的措施和方法</w:t>
            </w:r>
            <w:r>
              <w:rPr>
                <w:rFonts w:hint="eastAsia" w:ascii="宋体" w:hAnsi="宋体" w:eastAsia="宋体" w:cs="宋体"/>
                <w:szCs w:val="21"/>
                <w:lang w:eastAsia="zh-CN"/>
              </w:rPr>
              <w:t>（</w:t>
            </w:r>
            <w:r>
              <w:rPr>
                <w:rFonts w:hint="eastAsia" w:ascii="宋体" w:hAnsi="宋体" w:eastAsia="宋体" w:cs="宋体"/>
                <w:szCs w:val="21"/>
                <w:lang w:val="en-US" w:eastAsia="zh-CN"/>
              </w:rPr>
              <w:t>6</w:t>
            </w:r>
            <w:r>
              <w:rPr>
                <w:rFonts w:hint="eastAsia" w:ascii="宋体" w:hAnsi="宋体" w:eastAsia="宋体" w:cs="宋体"/>
                <w:szCs w:val="21"/>
              </w:rPr>
              <w:t>分</w:t>
            </w:r>
            <w:r>
              <w:rPr>
                <w:rFonts w:hint="eastAsia" w:ascii="宋体" w:hAnsi="宋体" w:eastAsia="宋体" w:cs="宋体"/>
                <w:szCs w:val="21"/>
                <w:lang w:eastAsia="zh-CN"/>
              </w:rPr>
              <w:t>）</w:t>
            </w:r>
          </w:p>
        </w:tc>
        <w:tc>
          <w:tcPr>
            <w:tcW w:w="6084" w:type="dxa"/>
            <w:vAlign w:val="center"/>
          </w:tcPr>
          <w:p w14:paraId="295FF803">
            <w:pPr>
              <w:spacing w:line="400" w:lineRule="exact"/>
              <w:jc w:val="both"/>
              <w:rPr>
                <w:rFonts w:hint="eastAsia"/>
                <w:lang w:val="en-US" w:eastAsia="zh-CN"/>
              </w:rPr>
            </w:pPr>
            <w:r>
              <w:rPr>
                <w:rFonts w:hint="eastAsia"/>
                <w:lang w:val="en-US" w:eastAsia="zh-CN"/>
              </w:rPr>
              <w:t>针对合同和信息管理所采取的措施科学、合理、全面的得6分；</w:t>
            </w:r>
          </w:p>
          <w:p w14:paraId="027F9A70">
            <w:pPr>
              <w:spacing w:line="400" w:lineRule="exact"/>
              <w:jc w:val="both"/>
              <w:rPr>
                <w:rFonts w:hint="eastAsia"/>
              </w:rPr>
            </w:pPr>
            <w:r>
              <w:rPr>
                <w:rFonts w:hint="eastAsia"/>
                <w:lang w:val="en-US" w:eastAsia="zh-CN"/>
              </w:rPr>
              <w:t xml:space="preserve">对合同和信息管理所采取的措施基本科学、基本合理、基本全面的得4分； </w:t>
            </w:r>
          </w:p>
          <w:p w14:paraId="60704B28">
            <w:pPr>
              <w:spacing w:line="400" w:lineRule="exact"/>
              <w:jc w:val="both"/>
              <w:rPr>
                <w:rFonts w:hint="eastAsia"/>
              </w:rPr>
            </w:pPr>
            <w:r>
              <w:rPr>
                <w:rFonts w:hint="eastAsia"/>
                <w:lang w:val="en-US" w:eastAsia="zh-CN"/>
              </w:rPr>
              <w:t>对合同和信息管理所采取的措施不科学、不合理、不全面的得2分；</w:t>
            </w:r>
          </w:p>
          <w:p w14:paraId="5B086B29">
            <w:pPr>
              <w:pStyle w:val="15"/>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szCs w:val="21"/>
                <w:lang w:val="en-US" w:eastAsia="zh-CN"/>
              </w:rPr>
              <w:t>缺项不得分</w:t>
            </w:r>
            <w:r>
              <w:rPr>
                <w:rFonts w:hint="eastAsia" w:ascii="宋体" w:hAnsi="宋体" w:cs="宋体"/>
                <w:szCs w:val="21"/>
                <w:lang w:val="en-US" w:eastAsia="zh-CN"/>
              </w:rPr>
              <w:t>。</w:t>
            </w:r>
          </w:p>
        </w:tc>
      </w:tr>
      <w:tr w14:paraId="4AF5ED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jc w:val="center"/>
        </w:trPr>
        <w:tc>
          <w:tcPr>
            <w:tcW w:w="1179" w:type="dxa"/>
            <w:vMerge w:val="continue"/>
            <w:vAlign w:val="center"/>
          </w:tcPr>
          <w:p w14:paraId="4A88171F">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1472F67A">
            <w:pPr>
              <w:spacing w:line="40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szCs w:val="21"/>
              </w:rPr>
              <w:t>工作协调的措施和方法</w:t>
            </w:r>
            <w:r>
              <w:rPr>
                <w:rFonts w:hint="eastAsia" w:ascii="宋体" w:hAnsi="宋体" w:eastAsia="宋体" w:cs="宋体"/>
                <w:szCs w:val="21"/>
                <w:lang w:eastAsia="zh-CN"/>
              </w:rPr>
              <w:t>（</w:t>
            </w:r>
            <w:r>
              <w:rPr>
                <w:rFonts w:hint="eastAsia" w:ascii="宋体" w:hAnsi="宋体" w:eastAsia="宋体" w:cs="宋体"/>
                <w:szCs w:val="21"/>
                <w:lang w:val="en-US" w:eastAsia="zh-CN"/>
              </w:rPr>
              <w:t>6分</w:t>
            </w:r>
            <w:r>
              <w:rPr>
                <w:rFonts w:hint="eastAsia" w:ascii="宋体" w:hAnsi="宋体" w:eastAsia="宋体" w:cs="宋体"/>
                <w:szCs w:val="21"/>
                <w:lang w:eastAsia="zh-CN"/>
              </w:rPr>
              <w:t>）</w:t>
            </w:r>
          </w:p>
        </w:tc>
        <w:tc>
          <w:tcPr>
            <w:tcW w:w="6084" w:type="dxa"/>
            <w:vAlign w:val="center"/>
          </w:tcPr>
          <w:p w14:paraId="30888E32">
            <w:pPr>
              <w:spacing w:line="400" w:lineRule="exact"/>
              <w:jc w:val="both"/>
              <w:rPr>
                <w:rFonts w:hint="eastAsia"/>
              </w:rPr>
            </w:pPr>
            <w:r>
              <w:rPr>
                <w:rFonts w:hint="eastAsia"/>
                <w:lang w:val="en-US" w:eastAsia="zh-CN"/>
              </w:rPr>
              <w:t>现场组织协调内容全面、合理的得6分；</w:t>
            </w:r>
          </w:p>
          <w:p w14:paraId="554CEFFF">
            <w:pPr>
              <w:spacing w:line="400" w:lineRule="exact"/>
              <w:jc w:val="both"/>
              <w:rPr>
                <w:rFonts w:hint="eastAsia"/>
                <w:lang w:val="en-US" w:eastAsia="zh-CN"/>
              </w:rPr>
            </w:pPr>
            <w:r>
              <w:rPr>
                <w:rFonts w:hint="eastAsia"/>
                <w:lang w:val="en-US" w:eastAsia="zh-CN"/>
              </w:rPr>
              <w:t>现场组织协调内容基本全面、方法基本得当等情况的得4分；</w:t>
            </w:r>
          </w:p>
          <w:p w14:paraId="352920AF">
            <w:pPr>
              <w:spacing w:line="400" w:lineRule="exact"/>
              <w:jc w:val="both"/>
              <w:rPr>
                <w:rFonts w:hint="eastAsia"/>
                <w:lang w:val="en-US" w:eastAsia="zh-CN"/>
              </w:rPr>
            </w:pPr>
            <w:r>
              <w:rPr>
                <w:rFonts w:hint="eastAsia"/>
                <w:lang w:val="en-US" w:eastAsia="zh-CN"/>
              </w:rPr>
              <w:t>组织协调内容不全面、方法不得当等情况的得2分；</w:t>
            </w:r>
          </w:p>
          <w:p w14:paraId="71E0FA02">
            <w:pPr>
              <w:pStyle w:val="15"/>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szCs w:val="21"/>
                <w:lang w:val="en-US" w:eastAsia="zh-CN"/>
              </w:rPr>
              <w:t>缺项不得分</w:t>
            </w:r>
            <w:r>
              <w:rPr>
                <w:rFonts w:hint="eastAsia" w:ascii="宋体" w:hAnsi="宋体" w:cs="宋体"/>
                <w:szCs w:val="21"/>
                <w:lang w:val="en-US" w:eastAsia="zh-CN"/>
              </w:rPr>
              <w:t>。</w:t>
            </w:r>
          </w:p>
        </w:tc>
      </w:tr>
      <w:tr w14:paraId="1915F6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40" w:hRule="atLeast"/>
          <w:jc w:val="center"/>
        </w:trPr>
        <w:tc>
          <w:tcPr>
            <w:tcW w:w="1179" w:type="dxa"/>
            <w:vMerge w:val="continue"/>
            <w:vAlign w:val="center"/>
          </w:tcPr>
          <w:p w14:paraId="6869ADBB">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13F08D6A">
            <w:pPr>
              <w:spacing w:line="40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szCs w:val="21"/>
              </w:rPr>
              <w:t>投资控制的措施和方法</w:t>
            </w:r>
            <w:r>
              <w:rPr>
                <w:rFonts w:hint="eastAsia" w:ascii="宋体" w:hAnsi="宋体" w:eastAsia="宋体" w:cs="宋体"/>
                <w:szCs w:val="21"/>
                <w:lang w:eastAsia="zh-CN"/>
              </w:rPr>
              <w:t>（</w:t>
            </w:r>
            <w:r>
              <w:rPr>
                <w:rFonts w:hint="eastAsia" w:ascii="宋体" w:hAnsi="宋体" w:eastAsia="宋体" w:cs="宋体"/>
                <w:szCs w:val="21"/>
                <w:lang w:val="en-US" w:eastAsia="zh-CN"/>
              </w:rPr>
              <w:t>6分</w:t>
            </w:r>
            <w:r>
              <w:rPr>
                <w:rFonts w:hint="eastAsia" w:ascii="宋体" w:hAnsi="宋体" w:eastAsia="宋体" w:cs="宋体"/>
                <w:szCs w:val="21"/>
                <w:lang w:eastAsia="zh-CN"/>
              </w:rPr>
              <w:t>）</w:t>
            </w:r>
          </w:p>
        </w:tc>
        <w:tc>
          <w:tcPr>
            <w:tcW w:w="6084" w:type="dxa"/>
            <w:vAlign w:val="center"/>
          </w:tcPr>
          <w:p w14:paraId="11D7F8DD">
            <w:pPr>
              <w:spacing w:line="400" w:lineRule="exact"/>
              <w:jc w:val="both"/>
              <w:rPr>
                <w:rFonts w:hint="eastAsia" w:ascii="宋体" w:hAnsi="宋体" w:eastAsia="宋体" w:cs="宋体"/>
                <w:szCs w:val="21"/>
              </w:rPr>
            </w:pPr>
            <w:r>
              <w:rPr>
                <w:rFonts w:hint="eastAsia" w:ascii="宋体" w:hAnsi="宋体" w:eastAsia="宋体" w:cs="宋体"/>
                <w:szCs w:val="21"/>
                <w:lang w:val="en-US" w:eastAsia="zh-CN"/>
              </w:rPr>
              <w:t xml:space="preserve">针对项目实际的投资控制程序、控制目标风险分析并制定防范性对策所采取的方法措施科学、合理、可行得6分； </w:t>
            </w:r>
          </w:p>
          <w:p w14:paraId="43D3229A">
            <w:pPr>
              <w:spacing w:line="400" w:lineRule="exact"/>
              <w:jc w:val="both"/>
              <w:rPr>
                <w:rFonts w:hint="eastAsia" w:ascii="宋体" w:hAnsi="宋体" w:eastAsia="宋体" w:cs="宋体"/>
                <w:szCs w:val="21"/>
              </w:rPr>
            </w:pPr>
            <w:r>
              <w:rPr>
                <w:rFonts w:hint="eastAsia" w:ascii="宋体" w:hAnsi="宋体" w:eastAsia="宋体" w:cs="宋体"/>
                <w:szCs w:val="21"/>
                <w:lang w:val="en-US" w:eastAsia="zh-CN"/>
              </w:rPr>
              <w:t xml:space="preserve">针对项目实际的投资控制程序、控制目标风险分析并制定防范性对策所采取的方法措施基本科学、基本合理、基本可行得4分； </w:t>
            </w:r>
          </w:p>
          <w:p w14:paraId="460FD24A">
            <w:pPr>
              <w:spacing w:line="400" w:lineRule="exact"/>
              <w:jc w:val="both"/>
              <w:rPr>
                <w:rFonts w:hint="eastAsia" w:ascii="宋体" w:hAnsi="宋体" w:eastAsia="宋体" w:cs="宋体"/>
                <w:szCs w:val="21"/>
                <w:lang w:val="en-US" w:eastAsia="zh-CN"/>
              </w:rPr>
            </w:pPr>
            <w:r>
              <w:rPr>
                <w:rFonts w:hint="eastAsia" w:ascii="宋体" w:hAnsi="宋体" w:eastAsia="宋体" w:cs="宋体"/>
                <w:szCs w:val="21"/>
                <w:lang w:val="en-US" w:eastAsia="zh-CN"/>
              </w:rPr>
              <w:t>针对项目实际的投资控制程序、控制目标风险分析并制定防范性对策所采取的方法措施不科学、不合理、不可行得2分；</w:t>
            </w:r>
          </w:p>
          <w:p w14:paraId="7DE0C5B0">
            <w:pPr>
              <w:spacing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szCs w:val="21"/>
                <w:lang w:val="en-US" w:eastAsia="zh-CN"/>
              </w:rPr>
              <w:t>缺项不得分。</w:t>
            </w:r>
          </w:p>
        </w:tc>
      </w:tr>
      <w:tr w14:paraId="46D080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Merge w:val="continue"/>
            <w:vAlign w:val="center"/>
          </w:tcPr>
          <w:p w14:paraId="29099149">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24934FBD">
            <w:pPr>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环境保护、文明施工措施（6分）</w:t>
            </w:r>
          </w:p>
          <w:p w14:paraId="268BCC2F">
            <w:pPr>
              <w:spacing w:line="400" w:lineRule="exact"/>
              <w:ind w:firstLine="220" w:firstLineChars="100"/>
              <w:jc w:val="left"/>
              <w:rPr>
                <w:rFonts w:hint="eastAsia" w:ascii="宋体" w:hAnsi="宋体" w:eastAsia="宋体" w:cs="宋体"/>
                <w:color w:val="auto"/>
                <w:sz w:val="22"/>
                <w:szCs w:val="22"/>
                <w:highlight w:val="none"/>
                <w:lang w:val="en-US" w:eastAsia="zh-CN"/>
              </w:rPr>
            </w:pPr>
          </w:p>
        </w:tc>
        <w:tc>
          <w:tcPr>
            <w:tcW w:w="6084" w:type="dxa"/>
            <w:vAlign w:val="center"/>
          </w:tcPr>
          <w:p w14:paraId="68635262">
            <w:pPr>
              <w:spacing w:line="400" w:lineRule="exact"/>
              <w:jc w:val="both"/>
              <w:rPr>
                <w:rFonts w:hint="eastAsia" w:ascii="宋体" w:hAnsi="宋体" w:eastAsia="宋体" w:cs="宋体"/>
                <w:szCs w:val="21"/>
              </w:rPr>
            </w:pPr>
            <w:r>
              <w:rPr>
                <w:rFonts w:hint="eastAsia" w:ascii="宋体" w:hAnsi="宋体" w:eastAsia="宋体" w:cs="宋体"/>
                <w:szCs w:val="21"/>
                <w:lang w:val="en-US" w:eastAsia="zh-CN"/>
              </w:rPr>
              <w:t xml:space="preserve">对环境保护措施、文明施工措施进行打分，科学、合理、全面的得6分； </w:t>
            </w:r>
          </w:p>
          <w:p w14:paraId="23CD4857">
            <w:pPr>
              <w:spacing w:line="400" w:lineRule="exact"/>
              <w:jc w:val="both"/>
              <w:rPr>
                <w:rFonts w:hint="eastAsia" w:ascii="宋体" w:hAnsi="宋体" w:eastAsia="宋体" w:cs="宋体"/>
                <w:szCs w:val="21"/>
              </w:rPr>
            </w:pPr>
            <w:r>
              <w:rPr>
                <w:rFonts w:hint="eastAsia" w:ascii="宋体" w:hAnsi="宋体" w:eastAsia="宋体" w:cs="宋体"/>
                <w:szCs w:val="21"/>
                <w:lang w:val="en-US" w:eastAsia="zh-CN"/>
              </w:rPr>
              <w:t xml:space="preserve">对环境保护措施、文明施工措施基本科学、基本合理、基本全面的得4分； </w:t>
            </w:r>
          </w:p>
          <w:p w14:paraId="1E0F8AB7">
            <w:pPr>
              <w:spacing w:line="400" w:lineRule="exact"/>
              <w:jc w:val="both"/>
              <w:rPr>
                <w:rFonts w:hint="eastAsia" w:ascii="宋体" w:hAnsi="宋体" w:eastAsia="宋体" w:cs="宋体"/>
                <w:szCs w:val="21"/>
              </w:rPr>
            </w:pPr>
            <w:r>
              <w:rPr>
                <w:rFonts w:hint="eastAsia" w:ascii="宋体" w:hAnsi="宋体" w:eastAsia="宋体" w:cs="宋体"/>
                <w:szCs w:val="21"/>
                <w:lang w:val="en-US" w:eastAsia="zh-CN"/>
              </w:rPr>
              <w:t xml:space="preserve">对环境保护措施、文明施工措施不科学、不合理、不全面等情况的得2分； </w:t>
            </w:r>
          </w:p>
          <w:p w14:paraId="1F701118">
            <w:pPr>
              <w:spacing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szCs w:val="21"/>
                <w:lang w:val="en-US" w:eastAsia="zh-CN"/>
              </w:rPr>
              <w:t>缺项不得分。</w:t>
            </w:r>
          </w:p>
        </w:tc>
      </w:tr>
      <w:tr w14:paraId="062475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Merge w:val="continue"/>
            <w:vAlign w:val="center"/>
          </w:tcPr>
          <w:p w14:paraId="116F7217">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5C214E68">
            <w:pPr>
              <w:spacing w:line="40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szCs w:val="21"/>
                <w:lang w:val="en-US" w:eastAsia="zh-CN"/>
              </w:rPr>
              <w:t>现场监理人员、制度及监理仪器设备（6分）</w:t>
            </w:r>
          </w:p>
        </w:tc>
        <w:tc>
          <w:tcPr>
            <w:tcW w:w="6084" w:type="dxa"/>
            <w:vAlign w:val="center"/>
          </w:tcPr>
          <w:p w14:paraId="72BEBD2A">
            <w:pPr>
              <w:spacing w:line="400" w:lineRule="exact"/>
              <w:jc w:val="both"/>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现场监理人员结构、专业、分工、监理仪器设备投入情况科学、合理、全面的的得6分； </w:t>
            </w:r>
          </w:p>
          <w:p w14:paraId="32C735AF">
            <w:pPr>
              <w:spacing w:line="400" w:lineRule="exact"/>
              <w:jc w:val="both"/>
              <w:rPr>
                <w:rFonts w:hint="default" w:ascii="宋体" w:hAnsi="宋体" w:eastAsia="宋体" w:cs="宋体"/>
                <w:szCs w:val="21"/>
                <w:lang w:val="en-US" w:eastAsia="zh-CN"/>
              </w:rPr>
            </w:pPr>
            <w:r>
              <w:rPr>
                <w:rFonts w:hint="eastAsia" w:ascii="宋体" w:hAnsi="宋体" w:eastAsia="宋体" w:cs="宋体"/>
                <w:szCs w:val="21"/>
                <w:lang w:val="en-US" w:eastAsia="zh-CN"/>
              </w:rPr>
              <w:t>现场监理人员结构、专业、分工、监理仪器设备投入情况基本科学、基本合理、基本全面得4分；</w:t>
            </w:r>
          </w:p>
          <w:p w14:paraId="5956C18B">
            <w:pPr>
              <w:spacing w:line="400" w:lineRule="exact"/>
              <w:jc w:val="both"/>
              <w:rPr>
                <w:rFonts w:hint="eastAsia" w:ascii="宋体" w:hAnsi="宋体" w:eastAsia="宋体" w:cs="宋体"/>
                <w:szCs w:val="21"/>
                <w:lang w:val="en-US" w:eastAsia="zh-CN"/>
              </w:rPr>
            </w:pPr>
            <w:r>
              <w:rPr>
                <w:rFonts w:hint="eastAsia" w:ascii="宋体" w:hAnsi="宋体" w:eastAsia="宋体" w:cs="宋体"/>
                <w:szCs w:val="21"/>
                <w:lang w:val="en-US" w:eastAsia="zh-CN"/>
              </w:rPr>
              <w:t>现场监理人员结构、专业、分工、监理仪器设备投入情况不科学、不合理、不全面得2分；</w:t>
            </w:r>
          </w:p>
          <w:p w14:paraId="3B08E066">
            <w:pPr>
              <w:spacing w:line="400" w:lineRule="exact"/>
              <w:jc w:val="both"/>
              <w:rPr>
                <w:rFonts w:hint="eastAsia"/>
                <w:lang w:val="en-US" w:eastAsia="zh-CN"/>
              </w:rPr>
            </w:pPr>
            <w:r>
              <w:rPr>
                <w:rFonts w:hint="eastAsia" w:ascii="宋体" w:hAnsi="宋体" w:eastAsia="宋体" w:cs="宋体"/>
                <w:szCs w:val="21"/>
                <w:lang w:val="en-US" w:eastAsia="zh-CN"/>
              </w:rPr>
              <w:t>缺项不得分。</w:t>
            </w:r>
          </w:p>
        </w:tc>
      </w:tr>
      <w:tr w14:paraId="5D56B3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Merge w:val="continue"/>
            <w:vAlign w:val="center"/>
          </w:tcPr>
          <w:p w14:paraId="5011D585">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229437DD">
            <w:pPr>
              <w:spacing w:line="40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szCs w:val="21"/>
                <w:lang w:val="en-US" w:eastAsia="zh-CN"/>
              </w:rPr>
              <w:t>监理重点部位的体现（6分）</w:t>
            </w:r>
          </w:p>
        </w:tc>
        <w:tc>
          <w:tcPr>
            <w:tcW w:w="6084" w:type="dxa"/>
            <w:vAlign w:val="center"/>
          </w:tcPr>
          <w:p w14:paraId="1921B9A6">
            <w:pPr>
              <w:spacing w:line="400" w:lineRule="exact"/>
              <w:jc w:val="both"/>
              <w:rPr>
                <w:rFonts w:hint="eastAsia" w:ascii="宋体" w:hAnsi="宋体" w:eastAsia="宋体" w:cs="宋体"/>
                <w:szCs w:val="21"/>
                <w:lang w:val="en-US" w:eastAsia="zh-CN"/>
              </w:rPr>
            </w:pPr>
            <w:r>
              <w:rPr>
                <w:rFonts w:hint="eastAsia" w:ascii="宋体" w:hAnsi="宋体" w:eastAsia="宋体" w:cs="宋体"/>
                <w:szCs w:val="21"/>
                <w:lang w:val="en-US" w:eastAsia="zh-CN"/>
              </w:rPr>
              <w:t>针对监理重点部位所采取的措施科学、合理、可行得6分；</w:t>
            </w:r>
          </w:p>
          <w:p w14:paraId="032E50C0">
            <w:pPr>
              <w:spacing w:line="400" w:lineRule="exact"/>
              <w:jc w:val="both"/>
              <w:rPr>
                <w:rFonts w:hint="eastAsia" w:ascii="宋体" w:hAnsi="宋体" w:eastAsia="宋体" w:cs="宋体"/>
                <w:szCs w:val="21"/>
                <w:lang w:val="en-US" w:eastAsia="zh-CN"/>
              </w:rPr>
            </w:pPr>
            <w:r>
              <w:rPr>
                <w:rFonts w:hint="eastAsia" w:ascii="宋体" w:hAnsi="宋体" w:eastAsia="宋体" w:cs="宋体"/>
                <w:szCs w:val="21"/>
                <w:lang w:val="en-US" w:eastAsia="zh-CN"/>
              </w:rPr>
              <w:t>针对监理重点部位所采取的措施基本科学、基本合理、基本可行得4分；</w:t>
            </w:r>
          </w:p>
          <w:p w14:paraId="25B6BD5D">
            <w:pPr>
              <w:spacing w:line="400" w:lineRule="exact"/>
              <w:jc w:val="both"/>
              <w:rPr>
                <w:rFonts w:hint="eastAsia" w:ascii="宋体" w:hAnsi="宋体" w:eastAsia="宋体" w:cs="宋体"/>
                <w:szCs w:val="21"/>
                <w:lang w:val="en-US" w:eastAsia="zh-CN"/>
              </w:rPr>
            </w:pPr>
            <w:r>
              <w:rPr>
                <w:rFonts w:hint="eastAsia" w:ascii="宋体" w:hAnsi="宋体" w:eastAsia="宋体" w:cs="宋体"/>
                <w:szCs w:val="21"/>
                <w:lang w:val="en-US" w:eastAsia="zh-CN"/>
              </w:rPr>
              <w:t>针对监理重点部位所采取的措施不科学、不合理、不可行得2分；</w:t>
            </w:r>
          </w:p>
          <w:p w14:paraId="27C880BF">
            <w:pPr>
              <w:spacing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szCs w:val="21"/>
                <w:lang w:val="en-US" w:eastAsia="zh-CN"/>
              </w:rPr>
              <w:t>缺项不得分。</w:t>
            </w:r>
          </w:p>
        </w:tc>
      </w:tr>
      <w:tr w14:paraId="56A239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Merge w:val="restart"/>
            <w:vAlign w:val="center"/>
          </w:tcPr>
          <w:p w14:paraId="497E0323">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综合部分（</w:t>
            </w:r>
            <w:r>
              <w:rPr>
                <w:rFonts w:hint="eastAsia" w:cs="宋体"/>
                <w:color w:val="auto"/>
                <w:sz w:val="22"/>
                <w:szCs w:val="22"/>
                <w:highlight w:val="none"/>
                <w:lang w:val="en-US" w:eastAsia="zh-CN"/>
              </w:rPr>
              <w:t>25</w:t>
            </w:r>
            <w:r>
              <w:rPr>
                <w:rFonts w:hint="eastAsia" w:ascii="宋体" w:hAnsi="宋体" w:eastAsia="宋体" w:cs="宋体"/>
                <w:color w:val="auto"/>
                <w:sz w:val="22"/>
                <w:szCs w:val="22"/>
                <w:highlight w:val="none"/>
                <w:lang w:eastAsia="zh-CN"/>
              </w:rPr>
              <w:t>分）</w:t>
            </w:r>
          </w:p>
        </w:tc>
        <w:tc>
          <w:tcPr>
            <w:tcW w:w="2556" w:type="dxa"/>
            <w:vAlign w:val="center"/>
          </w:tcPr>
          <w:p w14:paraId="27278EF1">
            <w:pPr>
              <w:spacing w:line="360" w:lineRule="auto"/>
              <w:jc w:val="center"/>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类似业绩</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c>
          <w:tcPr>
            <w:tcW w:w="6084" w:type="dxa"/>
            <w:vAlign w:val="center"/>
          </w:tcPr>
          <w:p w14:paraId="01FE9E4D">
            <w:pPr>
              <w:pStyle w:val="49"/>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2"/>
                <w:szCs w:val="22"/>
                <w:highlight w:val="none"/>
                <w:lang w:val="en-US" w:eastAsia="en-US" w:bidi="ar-SA"/>
              </w:rPr>
            </w:pPr>
            <w:r>
              <w:rPr>
                <w:rFonts w:hint="eastAsia" w:ascii="宋体" w:hAnsi="宋体" w:eastAsia="宋体" w:cs="宋体"/>
                <w:color w:val="auto"/>
                <w:sz w:val="22"/>
                <w:szCs w:val="22"/>
                <w:highlight w:val="none"/>
                <w:lang w:val="en-US" w:eastAsia="en-US" w:bidi="ar-SA"/>
              </w:rPr>
              <w:t>供应商202</w:t>
            </w: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lang w:val="en-US" w:eastAsia="en-US" w:bidi="ar-SA"/>
              </w:rPr>
              <w:t>年1月1日以来</w:t>
            </w:r>
            <w:r>
              <w:rPr>
                <w:rFonts w:hint="eastAsia" w:ascii="宋体" w:hAnsi="宋体" w:eastAsia="宋体" w:cs="宋体"/>
                <w:color w:val="auto"/>
                <w:sz w:val="22"/>
                <w:szCs w:val="22"/>
                <w:highlight w:val="none"/>
                <w:lang w:val="en-US" w:eastAsia="zh-CN" w:bidi="ar-SA"/>
              </w:rPr>
              <w:t>（以合同签订时间为准）</w:t>
            </w:r>
            <w:r>
              <w:rPr>
                <w:rFonts w:hint="eastAsia" w:ascii="宋体" w:hAnsi="宋体" w:eastAsia="宋体" w:cs="宋体"/>
                <w:color w:val="auto"/>
                <w:sz w:val="22"/>
                <w:szCs w:val="22"/>
                <w:highlight w:val="none"/>
                <w:lang w:val="en-US" w:eastAsia="en-US" w:bidi="ar-SA"/>
              </w:rPr>
              <w:t>具有</w:t>
            </w:r>
            <w:r>
              <w:rPr>
                <w:rFonts w:hint="eastAsia" w:hAnsi="宋体" w:cs="宋体"/>
                <w:color w:val="auto"/>
                <w:sz w:val="22"/>
                <w:szCs w:val="22"/>
                <w:highlight w:val="none"/>
                <w:lang w:val="en-US" w:eastAsia="zh-CN" w:bidi="ar-SA"/>
              </w:rPr>
              <w:t>房屋建筑工程类似</w:t>
            </w:r>
            <w:r>
              <w:rPr>
                <w:rFonts w:hint="eastAsia" w:ascii="宋体" w:hAnsi="宋体" w:eastAsia="宋体" w:cs="宋体"/>
                <w:color w:val="auto"/>
                <w:sz w:val="22"/>
                <w:szCs w:val="22"/>
                <w:highlight w:val="none"/>
                <w:lang w:val="en-US" w:eastAsia="en-US" w:bidi="ar-SA"/>
              </w:rPr>
              <w:t>业绩的，每项业绩得</w:t>
            </w:r>
            <w:r>
              <w:rPr>
                <w:rFonts w:hint="eastAsia"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val="en-US" w:eastAsia="en-US" w:bidi="ar-SA"/>
              </w:rPr>
              <w:t>分</w:t>
            </w:r>
            <w:r>
              <w:rPr>
                <w:rFonts w:hint="eastAsia" w:ascii="宋体" w:hAnsi="宋体" w:eastAsia="宋体" w:cs="宋体"/>
                <w:color w:val="auto"/>
                <w:sz w:val="22"/>
                <w:szCs w:val="22"/>
                <w:highlight w:val="none"/>
                <w:lang w:val="en-US" w:eastAsia="zh-CN" w:bidi="ar-SA"/>
              </w:rPr>
              <w:t>，</w:t>
            </w:r>
            <w:r>
              <w:rPr>
                <w:rFonts w:hint="eastAsia" w:hAnsi="宋体" w:cs="宋体"/>
                <w:color w:val="auto"/>
                <w:sz w:val="22"/>
                <w:szCs w:val="22"/>
                <w:highlight w:val="none"/>
                <w:lang w:val="en-US" w:eastAsia="zh-CN" w:bidi="ar-SA"/>
              </w:rPr>
              <w:t>本项</w:t>
            </w:r>
            <w:r>
              <w:rPr>
                <w:rFonts w:hint="eastAsia" w:ascii="宋体" w:hAnsi="宋体" w:eastAsia="宋体" w:cs="宋体"/>
                <w:color w:val="auto"/>
                <w:sz w:val="22"/>
                <w:szCs w:val="22"/>
                <w:highlight w:val="none"/>
                <w:lang w:val="en-US" w:eastAsia="en-US" w:bidi="ar-SA"/>
              </w:rPr>
              <w:t>最高得</w:t>
            </w:r>
            <w:r>
              <w:rPr>
                <w:rFonts w:hint="eastAsia" w:hAnsi="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en-US" w:eastAsia="en-US" w:bidi="ar-SA"/>
              </w:rPr>
              <w:t>分。</w:t>
            </w:r>
          </w:p>
          <w:p w14:paraId="69F6E712">
            <w:pPr>
              <w:pStyle w:val="49"/>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default" w:ascii="宋体" w:hAnsi="宋体" w:eastAsia="宋体" w:cs="宋体"/>
                <w:color w:val="auto"/>
                <w:sz w:val="22"/>
                <w:szCs w:val="22"/>
                <w:highlight w:val="none"/>
                <w:lang w:val="en-US" w:eastAsia="zh-CN" w:bidi="ar-SA"/>
              </w:rPr>
            </w:pPr>
            <w:r>
              <w:rPr>
                <w:rFonts w:hint="eastAsia" w:ascii="宋体" w:hAnsi="Times New Roman" w:eastAsia="新宋体" w:cs="宋体"/>
                <w:b/>
                <w:bCs/>
                <w:kern w:val="0"/>
                <w:sz w:val="22"/>
                <w:szCs w:val="22"/>
                <w:highlight w:val="none"/>
                <w:lang w:val="en-US" w:eastAsia="zh-CN" w:bidi="hi-IN"/>
              </w:rPr>
              <w:t>备注：响应</w:t>
            </w:r>
            <w:r>
              <w:rPr>
                <w:rFonts w:ascii="宋体" w:hAnsi="Times New Roman" w:eastAsia="新宋体" w:cs="宋体"/>
                <w:b/>
                <w:bCs/>
                <w:kern w:val="0"/>
                <w:sz w:val="22"/>
                <w:szCs w:val="22"/>
                <w:highlight w:val="none"/>
                <w:lang w:bidi="hi-IN"/>
              </w:rPr>
              <w:t>文件附</w:t>
            </w:r>
            <w:r>
              <w:rPr>
                <w:rFonts w:hint="eastAsia" w:ascii="宋体" w:hAnsi="Times New Roman" w:eastAsia="新宋体" w:cs="宋体"/>
                <w:b/>
                <w:bCs/>
                <w:kern w:val="0"/>
                <w:sz w:val="22"/>
                <w:szCs w:val="22"/>
                <w:highlight w:val="none"/>
                <w:lang w:val="en-US" w:eastAsia="en-US" w:bidi="hi-IN"/>
              </w:rPr>
              <w:t>合同</w:t>
            </w:r>
            <w:r>
              <w:rPr>
                <w:rFonts w:hint="eastAsia" w:eastAsia="新宋体" w:cs="宋体"/>
                <w:b/>
                <w:bCs/>
                <w:kern w:val="0"/>
                <w:sz w:val="22"/>
                <w:szCs w:val="22"/>
                <w:highlight w:val="none"/>
                <w:lang w:val="en-US" w:eastAsia="zh-CN" w:bidi="hi-IN"/>
              </w:rPr>
              <w:t>扫描件</w:t>
            </w:r>
            <w:r>
              <w:rPr>
                <w:rFonts w:ascii="宋体" w:hAnsi="Times New Roman" w:eastAsia="新宋体" w:cs="宋体"/>
                <w:b/>
                <w:bCs/>
                <w:kern w:val="0"/>
                <w:sz w:val="22"/>
                <w:szCs w:val="22"/>
                <w:highlight w:val="none"/>
                <w:lang w:bidi="hi-IN"/>
              </w:rPr>
              <w:t>，否则不得分。</w:t>
            </w:r>
          </w:p>
        </w:tc>
      </w:tr>
      <w:tr w14:paraId="45EBCE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Merge w:val="continue"/>
            <w:vAlign w:val="center"/>
          </w:tcPr>
          <w:p w14:paraId="2E0B07FF">
            <w:pPr>
              <w:spacing w:line="360" w:lineRule="auto"/>
              <w:jc w:val="center"/>
              <w:rPr>
                <w:rFonts w:hint="eastAsia" w:ascii="宋体" w:hAnsi="宋体" w:eastAsia="宋体" w:cs="宋体"/>
                <w:color w:val="auto"/>
                <w:sz w:val="22"/>
                <w:szCs w:val="22"/>
                <w:highlight w:val="none"/>
                <w:lang w:eastAsia="zh-CN"/>
              </w:rPr>
            </w:pPr>
          </w:p>
        </w:tc>
        <w:tc>
          <w:tcPr>
            <w:tcW w:w="2556" w:type="dxa"/>
            <w:vAlign w:val="center"/>
          </w:tcPr>
          <w:p w14:paraId="78ACBFD6">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岗位职责（</w:t>
            </w:r>
            <w:r>
              <w:rPr>
                <w:rFonts w:hint="eastAsia"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w:t>
            </w:r>
          </w:p>
        </w:tc>
        <w:tc>
          <w:tcPr>
            <w:tcW w:w="6084" w:type="dxa"/>
            <w:vAlign w:val="center"/>
          </w:tcPr>
          <w:p w14:paraId="16C7A22F">
            <w:pPr>
              <w:keepNext w:val="0"/>
              <w:keepLines w:val="0"/>
              <w:pageBreakBefore w:val="0"/>
              <w:widowControl w:val="0"/>
              <w:kinsoku/>
              <w:wordWrap/>
              <w:overflowPunct/>
              <w:topLinePunct w:val="0"/>
              <w:autoSpaceDE w:val="0"/>
              <w:autoSpaceDN w:val="0"/>
              <w:bidi w:val="0"/>
              <w:snapToGrid/>
              <w:spacing w:line="360" w:lineRule="auto"/>
              <w:ind w:left="44" w:leftChars="20"/>
              <w:jc w:val="left"/>
              <w:textAlignment w:val="auto"/>
              <w:rPr>
                <w:rFonts w:hint="eastAsia" w:ascii="宋体" w:hAnsi="宋体" w:eastAsia="宋体" w:cs="宋体"/>
                <w:color w:val="auto"/>
                <w:sz w:val="22"/>
                <w:szCs w:val="22"/>
                <w:highlight w:val="none"/>
                <w:lang w:val="en-US" w:eastAsia="en-US" w:bidi="ar-SA"/>
              </w:rPr>
            </w:pPr>
            <w:r>
              <w:rPr>
                <w:rFonts w:hint="eastAsia" w:ascii="宋体" w:hAnsi="宋体" w:eastAsia="宋体" w:cs="宋体"/>
                <w:color w:val="auto"/>
                <w:sz w:val="22"/>
                <w:szCs w:val="22"/>
                <w:highlight w:val="none"/>
                <w:lang w:val="en-US" w:eastAsia="en-US" w:bidi="ar-SA"/>
              </w:rPr>
              <w:t>有明确的各级监理人员岗位职责：应具有专业监理工程师、监理员岗位职责，以上岗位职责齐全得</w:t>
            </w:r>
            <w:r>
              <w:rPr>
                <w:rFonts w:hint="eastAsia" w:cs="宋体"/>
                <w:color w:val="auto"/>
                <w:sz w:val="22"/>
                <w:szCs w:val="22"/>
                <w:highlight w:val="none"/>
                <w:lang w:val="en-US" w:eastAsia="zh-CN" w:bidi="ar-SA"/>
              </w:rPr>
              <w:t>2</w:t>
            </w:r>
            <w:r>
              <w:rPr>
                <w:rFonts w:hint="eastAsia" w:ascii="宋体" w:hAnsi="宋体" w:eastAsia="宋体" w:cs="宋体"/>
                <w:color w:val="auto"/>
                <w:sz w:val="22"/>
                <w:szCs w:val="22"/>
                <w:highlight w:val="none"/>
                <w:lang w:val="en-US" w:eastAsia="en-US" w:bidi="ar-SA"/>
              </w:rPr>
              <w:t>分，缺一个岗位职责扣</w:t>
            </w:r>
            <w:r>
              <w:rPr>
                <w:rFonts w:hint="eastAsia" w:cs="宋体"/>
                <w:color w:val="auto"/>
                <w:sz w:val="22"/>
                <w:szCs w:val="22"/>
                <w:highlight w:val="none"/>
                <w:lang w:val="en-US" w:eastAsia="zh-CN" w:bidi="ar-SA"/>
              </w:rPr>
              <w:t>1</w:t>
            </w:r>
            <w:r>
              <w:rPr>
                <w:rFonts w:hint="eastAsia" w:ascii="宋体" w:hAnsi="宋体" w:eastAsia="宋体" w:cs="宋体"/>
                <w:color w:val="auto"/>
                <w:sz w:val="22"/>
                <w:szCs w:val="22"/>
                <w:highlight w:val="none"/>
                <w:lang w:val="en-US" w:eastAsia="en-US" w:bidi="ar-SA"/>
              </w:rPr>
              <w:t>分，扣完为止。</w:t>
            </w:r>
          </w:p>
        </w:tc>
      </w:tr>
      <w:tr w14:paraId="32C920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Merge w:val="continue"/>
            <w:vAlign w:val="center"/>
          </w:tcPr>
          <w:p w14:paraId="1BC9C4BB">
            <w:pPr>
              <w:spacing w:line="360" w:lineRule="auto"/>
              <w:jc w:val="center"/>
              <w:rPr>
                <w:rFonts w:hint="eastAsia" w:ascii="宋体" w:hAnsi="宋体" w:eastAsia="宋体" w:cs="宋体"/>
                <w:color w:val="auto"/>
                <w:sz w:val="22"/>
                <w:szCs w:val="22"/>
                <w:highlight w:val="none"/>
                <w:lang w:eastAsia="zh-CN"/>
              </w:rPr>
            </w:pPr>
          </w:p>
        </w:tc>
        <w:tc>
          <w:tcPr>
            <w:tcW w:w="2556" w:type="dxa"/>
            <w:vAlign w:val="center"/>
          </w:tcPr>
          <w:p w14:paraId="12CE332A">
            <w:pPr>
              <w:spacing w:line="360" w:lineRule="auto"/>
              <w:jc w:val="center"/>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总监理工程师（4分）</w:t>
            </w:r>
          </w:p>
        </w:tc>
        <w:tc>
          <w:tcPr>
            <w:tcW w:w="6084" w:type="dxa"/>
            <w:vAlign w:val="center"/>
          </w:tcPr>
          <w:p w14:paraId="7FAD4122">
            <w:pPr>
              <w:keepNext w:val="0"/>
              <w:keepLines w:val="0"/>
              <w:pageBreakBefore w:val="0"/>
              <w:widowControl w:val="0"/>
              <w:kinsoku/>
              <w:wordWrap/>
              <w:overflowPunct/>
              <w:topLinePunct w:val="0"/>
              <w:autoSpaceDE w:val="0"/>
              <w:autoSpaceDN w:val="0"/>
              <w:bidi w:val="0"/>
              <w:snapToGrid/>
              <w:spacing w:line="360" w:lineRule="auto"/>
              <w:jc w:val="left"/>
              <w:textAlignment w:val="auto"/>
              <w:rPr>
                <w:rFonts w:hint="eastAsia" w:ascii="宋体" w:hAnsi="宋体" w:eastAsia="宋体" w:cs="宋体"/>
                <w:color w:val="auto"/>
                <w:sz w:val="22"/>
                <w:szCs w:val="22"/>
                <w:highlight w:val="none"/>
                <w:lang w:val="en-US" w:eastAsia="en-US" w:bidi="ar-SA"/>
              </w:rPr>
            </w:pPr>
            <w:r>
              <w:rPr>
                <w:rFonts w:hint="eastAsia" w:ascii="宋体" w:hAnsi="宋体" w:eastAsia="宋体" w:cs="宋体"/>
                <w:color w:val="auto"/>
                <w:sz w:val="22"/>
                <w:szCs w:val="22"/>
                <w:highlight w:val="none"/>
                <w:lang w:val="en-US" w:eastAsia="zh-CN" w:bidi="ar-SA"/>
              </w:rPr>
              <w:t>总监理工程师具有高级及以上职称得2分；总监理工程师自2021年1月1日以来荣获省级及以上优秀总监理工程师荣誉称号得</w:t>
            </w:r>
            <w:r>
              <w:rPr>
                <w:rFonts w:hint="eastAsia" w:cs="宋体"/>
                <w:color w:val="auto"/>
                <w:sz w:val="22"/>
                <w:szCs w:val="22"/>
                <w:highlight w:val="none"/>
                <w:lang w:val="en-US" w:eastAsia="zh-CN" w:bidi="ar-SA"/>
              </w:rPr>
              <w:t>2</w:t>
            </w:r>
            <w:r>
              <w:rPr>
                <w:rFonts w:hint="eastAsia" w:ascii="宋体" w:hAnsi="宋体" w:eastAsia="宋体" w:cs="宋体"/>
                <w:color w:val="auto"/>
                <w:sz w:val="22"/>
                <w:szCs w:val="22"/>
                <w:highlight w:val="none"/>
                <w:lang w:val="en-US" w:eastAsia="zh-CN" w:bidi="ar-SA"/>
              </w:rPr>
              <w:t>分，本项最高得</w:t>
            </w:r>
            <w:r>
              <w:rPr>
                <w:rFonts w:hint="eastAsia" w:cs="宋体"/>
                <w:color w:val="auto"/>
                <w:sz w:val="22"/>
                <w:szCs w:val="22"/>
                <w:highlight w:val="none"/>
                <w:lang w:val="en-US" w:eastAsia="zh-CN" w:bidi="ar-SA"/>
              </w:rPr>
              <w:t>4</w:t>
            </w:r>
            <w:r>
              <w:rPr>
                <w:rFonts w:hint="eastAsia" w:ascii="宋体" w:hAnsi="宋体" w:eastAsia="宋体" w:cs="宋体"/>
                <w:color w:val="auto"/>
                <w:sz w:val="22"/>
                <w:szCs w:val="22"/>
                <w:highlight w:val="none"/>
                <w:lang w:val="en-US" w:eastAsia="zh-CN" w:bidi="ar-SA"/>
              </w:rPr>
              <w:t>分。</w:t>
            </w:r>
          </w:p>
        </w:tc>
      </w:tr>
      <w:tr w14:paraId="4CE1C2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0" w:hRule="atLeast"/>
          <w:jc w:val="center"/>
        </w:trPr>
        <w:tc>
          <w:tcPr>
            <w:tcW w:w="1179" w:type="dxa"/>
            <w:vMerge w:val="continue"/>
            <w:vAlign w:val="center"/>
          </w:tcPr>
          <w:p w14:paraId="1F4CB80C">
            <w:pPr>
              <w:spacing w:line="360" w:lineRule="auto"/>
              <w:rPr>
                <w:rFonts w:hint="eastAsia" w:ascii="宋体" w:hAnsi="宋体" w:eastAsia="宋体" w:cs="宋体"/>
                <w:color w:val="auto"/>
                <w:sz w:val="22"/>
                <w:szCs w:val="22"/>
                <w:highlight w:val="none"/>
                <w:lang w:eastAsia="zh-CN"/>
              </w:rPr>
            </w:pPr>
          </w:p>
        </w:tc>
        <w:tc>
          <w:tcPr>
            <w:tcW w:w="2556" w:type="dxa"/>
            <w:vMerge w:val="restart"/>
            <w:vAlign w:val="center"/>
          </w:tcPr>
          <w:p w14:paraId="4F899154">
            <w:pPr>
              <w:pStyle w:val="49"/>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服务承诺</w:t>
            </w:r>
          </w:p>
          <w:p w14:paraId="7D81FBBB">
            <w:pPr>
              <w:spacing w:line="360" w:lineRule="auto"/>
              <w:jc w:val="center"/>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15</w:t>
            </w:r>
            <w:r>
              <w:rPr>
                <w:rFonts w:hint="eastAsia" w:ascii="宋体" w:hAnsi="宋体" w:eastAsia="宋体" w:cs="宋体"/>
                <w:color w:val="auto"/>
                <w:sz w:val="22"/>
                <w:szCs w:val="22"/>
                <w:highlight w:val="none"/>
              </w:rPr>
              <w:t>分</w:t>
            </w:r>
          </w:p>
        </w:tc>
        <w:tc>
          <w:tcPr>
            <w:tcW w:w="6084" w:type="dxa"/>
            <w:vAlign w:val="center"/>
          </w:tcPr>
          <w:p w14:paraId="2EE06EC3">
            <w:pPr>
              <w:pStyle w:val="30"/>
              <w:ind w:left="0" w:leftChars="0" w:firstLine="0" w:firstLineChars="0"/>
              <w:rPr>
                <w:rFonts w:hint="default"/>
                <w:sz w:val="22"/>
                <w:szCs w:val="22"/>
                <w:highlight w:val="none"/>
                <w:lang w:val="en-US" w:eastAsia="zh-CN"/>
              </w:rPr>
            </w:pPr>
            <w:r>
              <w:rPr>
                <w:rFonts w:hint="default" w:ascii="宋体" w:hAnsi="宋体" w:eastAsia="宋体" w:cs="宋体"/>
                <w:color w:val="auto"/>
                <w:sz w:val="22"/>
                <w:szCs w:val="22"/>
                <w:highlight w:val="none"/>
                <w:lang w:val="en-US" w:eastAsia="zh-CN" w:bidi="ar-SA"/>
              </w:rPr>
              <w:t>1、为采购人提供优惠方案和承诺。完全合理的得5分；较合理的得3分；不合理的得1分；缺项不得分。</w:t>
            </w:r>
          </w:p>
        </w:tc>
      </w:tr>
      <w:tr w14:paraId="046266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jc w:val="center"/>
        </w:trPr>
        <w:tc>
          <w:tcPr>
            <w:tcW w:w="1179" w:type="dxa"/>
            <w:vMerge w:val="continue"/>
            <w:vAlign w:val="center"/>
          </w:tcPr>
          <w:p w14:paraId="32207B3F">
            <w:pPr>
              <w:spacing w:line="360" w:lineRule="auto"/>
              <w:rPr>
                <w:rFonts w:hint="eastAsia" w:ascii="宋体" w:hAnsi="宋体" w:eastAsia="宋体" w:cs="宋体"/>
                <w:color w:val="auto"/>
                <w:sz w:val="22"/>
                <w:szCs w:val="22"/>
                <w:highlight w:val="none"/>
                <w:lang w:eastAsia="zh-CN"/>
              </w:rPr>
            </w:pPr>
          </w:p>
        </w:tc>
        <w:tc>
          <w:tcPr>
            <w:tcW w:w="2556" w:type="dxa"/>
            <w:vMerge w:val="continue"/>
            <w:vAlign w:val="center"/>
          </w:tcPr>
          <w:p w14:paraId="6D71C101">
            <w:pPr>
              <w:spacing w:line="360" w:lineRule="auto"/>
              <w:jc w:val="center"/>
              <w:rPr>
                <w:rFonts w:hint="eastAsia" w:cs="宋体"/>
                <w:color w:val="auto"/>
                <w:sz w:val="22"/>
                <w:szCs w:val="22"/>
                <w:highlight w:val="none"/>
                <w:lang w:val="en-US" w:eastAsia="zh-CN"/>
              </w:rPr>
            </w:pPr>
          </w:p>
        </w:tc>
        <w:tc>
          <w:tcPr>
            <w:tcW w:w="6084" w:type="dxa"/>
            <w:vAlign w:val="center"/>
          </w:tcPr>
          <w:p w14:paraId="089F2B1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96" w:rightChars="0"/>
              <w:jc w:val="left"/>
              <w:textAlignment w:val="auto"/>
              <w:rPr>
                <w:rFonts w:hint="eastAsia" w:ascii="宋体" w:hAnsi="宋体" w:eastAsia="宋体" w:cs="宋体"/>
                <w:szCs w:val="21"/>
                <w:lang w:val="en-US" w:eastAsia="zh-CN"/>
              </w:rPr>
            </w:pPr>
            <w:r>
              <w:rPr>
                <w:rFonts w:hint="eastAsia" w:ascii="宋体" w:hAnsi="宋体" w:eastAsia="宋体" w:cs="宋体"/>
                <w:color w:val="auto"/>
                <w:sz w:val="22"/>
                <w:szCs w:val="22"/>
                <w:highlight w:val="none"/>
                <w:lang w:val="en-US" w:eastAsia="zh-CN" w:bidi="ar-SA"/>
              </w:rPr>
              <w:t>2、供应商提出的切实可行的合理化建议与措施，完全合理的得5分；较合理得3分；不合理的得1分；缺项不得分。</w:t>
            </w:r>
          </w:p>
        </w:tc>
      </w:tr>
      <w:tr w14:paraId="39D4A2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1179" w:type="dxa"/>
            <w:vMerge w:val="continue"/>
            <w:vAlign w:val="center"/>
          </w:tcPr>
          <w:p w14:paraId="72229644">
            <w:pPr>
              <w:spacing w:line="360" w:lineRule="auto"/>
              <w:rPr>
                <w:rFonts w:hint="eastAsia" w:ascii="宋体" w:hAnsi="宋体" w:eastAsia="宋体" w:cs="宋体"/>
                <w:color w:val="auto"/>
                <w:sz w:val="22"/>
                <w:szCs w:val="22"/>
                <w:highlight w:val="none"/>
                <w:lang w:eastAsia="zh-CN"/>
              </w:rPr>
            </w:pPr>
          </w:p>
        </w:tc>
        <w:tc>
          <w:tcPr>
            <w:tcW w:w="2556" w:type="dxa"/>
            <w:vMerge w:val="continue"/>
            <w:vAlign w:val="center"/>
          </w:tcPr>
          <w:p w14:paraId="1EF7C0FA">
            <w:pPr>
              <w:spacing w:line="360" w:lineRule="auto"/>
              <w:jc w:val="center"/>
              <w:rPr>
                <w:rFonts w:hint="eastAsia" w:cs="宋体"/>
                <w:color w:val="auto"/>
                <w:sz w:val="22"/>
                <w:szCs w:val="22"/>
                <w:highlight w:val="none"/>
                <w:lang w:val="en-US" w:eastAsia="zh-CN"/>
              </w:rPr>
            </w:pPr>
          </w:p>
        </w:tc>
        <w:tc>
          <w:tcPr>
            <w:tcW w:w="6084" w:type="dxa"/>
            <w:vAlign w:val="center"/>
          </w:tcPr>
          <w:p w14:paraId="45CA924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96" w:right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szCs w:val="21"/>
                <w:lang w:val="en-US" w:eastAsia="zh-CN"/>
              </w:rPr>
              <w:t>3、其他实质性的优惠及服务承诺。得3分。</w:t>
            </w:r>
          </w:p>
        </w:tc>
      </w:tr>
      <w:tr w14:paraId="647671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jc w:val="center"/>
        </w:trPr>
        <w:tc>
          <w:tcPr>
            <w:tcW w:w="1179" w:type="dxa"/>
            <w:vMerge w:val="continue"/>
            <w:vAlign w:val="center"/>
          </w:tcPr>
          <w:p w14:paraId="14B9C6EB">
            <w:pPr>
              <w:spacing w:line="360" w:lineRule="auto"/>
              <w:rPr>
                <w:rFonts w:hint="eastAsia" w:ascii="宋体" w:hAnsi="宋体" w:eastAsia="宋体" w:cs="宋体"/>
                <w:color w:val="auto"/>
                <w:sz w:val="22"/>
                <w:szCs w:val="22"/>
                <w:highlight w:val="none"/>
                <w:lang w:eastAsia="zh-CN"/>
              </w:rPr>
            </w:pPr>
          </w:p>
        </w:tc>
        <w:tc>
          <w:tcPr>
            <w:tcW w:w="2556" w:type="dxa"/>
            <w:vMerge w:val="continue"/>
            <w:vAlign w:val="center"/>
          </w:tcPr>
          <w:p w14:paraId="6DCD30B4">
            <w:pPr>
              <w:spacing w:line="360" w:lineRule="auto"/>
              <w:jc w:val="center"/>
              <w:rPr>
                <w:rFonts w:hint="eastAsia" w:ascii="宋体" w:hAnsi="宋体" w:eastAsia="宋体" w:cs="宋体"/>
                <w:color w:val="auto"/>
                <w:sz w:val="22"/>
                <w:szCs w:val="22"/>
                <w:highlight w:val="none"/>
                <w:lang w:val="en-US" w:eastAsia="zh-CN"/>
              </w:rPr>
            </w:pPr>
          </w:p>
        </w:tc>
        <w:tc>
          <w:tcPr>
            <w:tcW w:w="6084" w:type="dxa"/>
            <w:vAlign w:val="center"/>
          </w:tcPr>
          <w:p w14:paraId="5C7F4E4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96" w:right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szCs w:val="21"/>
                <w:lang w:val="en-US" w:eastAsia="zh-CN"/>
              </w:rPr>
              <w:t>4、承诺拟派人员未经采购人同意中途不更换人员的，得2分。</w:t>
            </w:r>
          </w:p>
        </w:tc>
      </w:tr>
    </w:tbl>
    <w:p w14:paraId="16E24CD5">
      <w:pPr>
        <w:widowControl/>
        <w:wordWrap w:val="0"/>
        <w:spacing w:line="360" w:lineRule="auto"/>
        <w:ind w:firstLine="442" w:firstLineChars="200"/>
        <w:outlineLvl w:val="9"/>
        <w:rPr>
          <w:rFonts w:hint="eastAsia" w:ascii="宋体" w:hAnsi="宋体" w:eastAsia="宋体" w:cs="宋体"/>
          <w:b/>
          <w:color w:val="auto"/>
          <w:sz w:val="22"/>
          <w:szCs w:val="22"/>
          <w:highlight w:val="none"/>
          <w:lang w:eastAsia="zh-CN"/>
        </w:rPr>
      </w:pPr>
    </w:p>
    <w:p w14:paraId="0CDE757B">
      <w:pPr>
        <w:widowControl/>
        <w:wordWrap w:val="0"/>
        <w:spacing w:line="360" w:lineRule="auto"/>
        <w:ind w:firstLine="442" w:firstLineChars="200"/>
        <w:outlineLvl w:val="9"/>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lang w:eastAsia="zh-CN"/>
        </w:rPr>
        <w:t>三、得分的计算</w:t>
      </w:r>
      <w:bookmarkEnd w:id="53"/>
    </w:p>
    <w:p w14:paraId="15E260AC">
      <w:pPr>
        <w:widowControl/>
        <w:wordWrap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磋商小组成员评分</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磋商</w:t>
      </w:r>
      <w:r>
        <w:rPr>
          <w:rFonts w:hint="eastAsia" w:ascii="宋体" w:hAnsi="宋体" w:eastAsia="宋体" w:cs="宋体"/>
          <w:bCs/>
          <w:color w:val="auto"/>
          <w:sz w:val="22"/>
          <w:szCs w:val="22"/>
          <w:highlight w:val="none"/>
          <w:lang w:eastAsia="zh-CN"/>
        </w:rPr>
        <w:t>报价分+技术部分得分+综合部分得分</w:t>
      </w:r>
    </w:p>
    <w:p w14:paraId="19F4B103">
      <w:pPr>
        <w:spacing w:line="360" w:lineRule="auto"/>
        <w:jc w:val="both"/>
        <w:rPr>
          <w:rFonts w:hint="eastAsia" w:ascii="宋体" w:hAnsi="宋体" w:eastAsia="宋体" w:cs="宋体"/>
          <w:color w:val="auto"/>
          <w:sz w:val="22"/>
          <w:szCs w:val="22"/>
          <w:highlight w:val="none"/>
          <w:lang w:eastAsia="zh-CN"/>
        </w:rPr>
        <w:sectPr>
          <w:pgSz w:w="11910" w:h="16840"/>
          <w:pgMar w:top="1440" w:right="1080" w:bottom="1440" w:left="1080" w:header="878" w:footer="1130" w:gutter="0"/>
          <w:pgNumType w:fmt="decimal"/>
          <w:cols w:space="720" w:num="1"/>
        </w:sectPr>
      </w:pPr>
      <w:r>
        <w:rPr>
          <w:rFonts w:hint="eastAsia" w:ascii="宋体" w:hAnsi="宋体" w:eastAsia="宋体" w:cs="宋体"/>
          <w:color w:val="auto"/>
          <w:sz w:val="22"/>
          <w:szCs w:val="22"/>
          <w:highlight w:val="none"/>
          <w:lang w:eastAsia="zh-CN"/>
        </w:rPr>
        <w:br w:type="page"/>
      </w:r>
    </w:p>
    <w:p w14:paraId="631692AD">
      <w:pPr>
        <w:pStyle w:val="11"/>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b/>
          <w:bCs/>
          <w:color w:val="auto"/>
          <w:sz w:val="22"/>
          <w:szCs w:val="22"/>
          <w:highlight w:val="none"/>
          <w:lang w:eastAsia="zh-CN"/>
        </w:rPr>
      </w:pPr>
      <w:bookmarkStart w:id="54" w:name="1._评审方法"/>
      <w:bookmarkEnd w:id="54"/>
      <w:bookmarkStart w:id="55" w:name="_Toc10255"/>
      <w:bookmarkStart w:id="56" w:name="_Toc25753"/>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eastAsia="zh-CN"/>
        </w:rPr>
        <w:t>评审方法</w:t>
      </w:r>
      <w:bookmarkEnd w:id="55"/>
      <w:bookmarkEnd w:id="56"/>
    </w:p>
    <w:p w14:paraId="163D617B">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本次评审采用综合评分法，磋商小组对满足竞争性磋商文件实质性要求的竞争性磋商响应文件，按照本章第 2.2 款规定的评审标准进行打分，并按得分由高到低顺序推荐成交候选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。综合评分相等的情况下，以磋商报价低的优先，磋商报价也相等的，</w:t>
      </w:r>
      <w:r>
        <w:rPr>
          <w:rFonts w:hint="eastAsia" w:ascii="宋体" w:hAnsi="宋体" w:eastAsia="宋体" w:cs="宋体"/>
          <w:color w:val="auto"/>
          <w:sz w:val="22"/>
          <w:szCs w:val="22"/>
          <w:highlight w:val="none"/>
          <w:lang w:val="en-US" w:eastAsia="zh-CN"/>
        </w:rPr>
        <w:t>以</w:t>
      </w:r>
      <w:r>
        <w:rPr>
          <w:rFonts w:hint="eastAsia" w:ascii="宋体" w:hAnsi="宋体" w:eastAsia="宋体" w:cs="宋体"/>
          <w:color w:val="auto"/>
          <w:sz w:val="22"/>
          <w:szCs w:val="22"/>
          <w:highlight w:val="none"/>
          <w:lang w:eastAsia="zh-CN"/>
        </w:rPr>
        <w:t>技术部分得分高的</w:t>
      </w:r>
      <w:r>
        <w:rPr>
          <w:rFonts w:hint="eastAsia" w:ascii="宋体" w:hAnsi="宋体" w:eastAsia="宋体" w:cs="宋体"/>
          <w:color w:val="auto"/>
          <w:sz w:val="22"/>
          <w:szCs w:val="22"/>
          <w:highlight w:val="none"/>
          <w:lang w:val="en-US" w:eastAsia="zh-CN"/>
        </w:rPr>
        <w:t>优先</w:t>
      </w:r>
      <w:r>
        <w:rPr>
          <w:rFonts w:hint="eastAsia" w:ascii="宋体" w:hAnsi="宋体" w:eastAsia="宋体" w:cs="宋体"/>
          <w:color w:val="auto"/>
          <w:sz w:val="22"/>
          <w:szCs w:val="22"/>
          <w:highlight w:val="none"/>
          <w:lang w:eastAsia="zh-CN"/>
        </w:rPr>
        <w:t>。技术部分得分也相同时，由</w:t>
      </w:r>
      <w:r>
        <w:rPr>
          <w:rFonts w:hint="eastAsia" w:ascii="宋体" w:hAnsi="宋体" w:eastAsia="宋体" w:cs="宋体"/>
          <w:color w:val="auto"/>
          <w:sz w:val="22"/>
          <w:szCs w:val="22"/>
          <w:highlight w:val="none"/>
          <w:lang w:val="en-US" w:eastAsia="zh-CN"/>
        </w:rPr>
        <w:t>磋商小组</w:t>
      </w:r>
      <w:r>
        <w:rPr>
          <w:rFonts w:hint="eastAsia" w:ascii="宋体" w:hAnsi="宋体" w:eastAsia="宋体" w:cs="宋体"/>
          <w:color w:val="auto"/>
          <w:sz w:val="22"/>
          <w:szCs w:val="22"/>
          <w:highlight w:val="none"/>
          <w:lang w:eastAsia="zh-CN"/>
        </w:rPr>
        <w:t>自行确定。</w:t>
      </w:r>
    </w:p>
    <w:p w14:paraId="6EEFDA0B">
      <w:pPr>
        <w:pStyle w:val="11"/>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2.评审标准</w:t>
      </w:r>
    </w:p>
    <w:p w14:paraId="4DA61CA4">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2.1初步评审标准</w:t>
      </w:r>
    </w:p>
    <w:p w14:paraId="696B108E">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2.1.1形式评审标准：见评审办法前附表。</w:t>
      </w:r>
    </w:p>
    <w:p w14:paraId="06DEFFD7">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2.1.2资格评审标准：见评审办法前附表。</w:t>
      </w:r>
    </w:p>
    <w:p w14:paraId="72DACAA1">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2.1.3响应性评审标准：见评审办法前附表。</w:t>
      </w:r>
    </w:p>
    <w:p w14:paraId="62B1DBF7">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2.2评分标准</w:t>
      </w:r>
    </w:p>
    <w:p w14:paraId="75F96A69">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2.2.1分值构成：见评审办法前附表。</w:t>
      </w:r>
    </w:p>
    <w:p w14:paraId="68DAF0AD">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2.2.2磋商报价部分：见评审办法前附表。</w:t>
      </w:r>
    </w:p>
    <w:p w14:paraId="64AAFC5A">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2.2.3评审标准：见评审办法前附表。</w:t>
      </w:r>
    </w:p>
    <w:p w14:paraId="2AAE9444">
      <w:pPr>
        <w:pStyle w:val="11"/>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3.评审程序</w:t>
      </w:r>
    </w:p>
    <w:p w14:paraId="5895DA95">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3.1符合性审查</w:t>
      </w:r>
    </w:p>
    <w:p w14:paraId="4DA6FFFC">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3.1.1符合性审查是指依据磋商文件的规定，从响应文件的有效性和完整性对磋商文件的响应程度进行审查，以确定是否对磋商文件的实质性要求做出响应。未通过符合性审查的供应商不能进入下一阶段评审，其响应将被认定为无效响应；通过符合性审查的供应商数量不足3家的，不得作进一步的比较和评价。</w:t>
      </w:r>
    </w:p>
    <w:p w14:paraId="31DF6134">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3.1.2采用竞争性磋商采购方式采购的政府购买服务项目（含政府和社会资本合作项目），在采购过程中通过符合性审查的供应商（社会资本）只有2家的，竞争性磋商采购活动可以继续进行。</w:t>
      </w:r>
    </w:p>
    <w:p w14:paraId="21B60AFB">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3.1.3如发现下列情况之一的，其响应做废标处理：</w:t>
      </w:r>
    </w:p>
    <w:p w14:paraId="67460526">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（1）投标（响应）文件制作机器码一致的；</w:t>
      </w:r>
    </w:p>
    <w:p w14:paraId="6D717F42">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（2）供应商的报价超过了磋商文件中规定的预算金额或者最高限价的；</w:t>
      </w:r>
    </w:p>
    <w:p w14:paraId="0E7393E0">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（3）未通过初步评审的。</w:t>
      </w:r>
    </w:p>
    <w:p w14:paraId="297EEF09">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3.2资格审查</w:t>
      </w:r>
    </w:p>
    <w:p w14:paraId="002D27CE">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3.2.1磋商小组依据法律法规和磋商文件中规定的内容，对供应商的资格（提交的资格证明材料）进行审查。未通过资格审查的供应商不能进入下一阶段评审；通过资格审查的供应商不足 3 家的，不得进入下一阶段评审，但本须知 3.2.2 条规定的情形除外。</w:t>
      </w:r>
    </w:p>
    <w:p w14:paraId="429DC55D">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3.2.2采用竞争性磋商采购方式采购的政府购买服务项目（含政府和社会资本合作项目），在采购过程中通过资格审查的供应商（社会资本）只有2家的，竞争性磋商采购活动可以继续进行。</w:t>
      </w:r>
    </w:p>
    <w:p w14:paraId="7B83847F">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3.2.3信息查询的截止时点为投标截止时间，以采购人或代理机构在现场查询结果为准。查询记录与其他采购文件一并留存。</w:t>
      </w:r>
    </w:p>
    <w:p w14:paraId="377B18FA">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不良信用记录指：供应商在中国政府采购网（www.ccgp.gov.cn）被列入政府采购严重违法失信行为记录名单，在中国执行信息公开网（zxgk.court.gov.cn）、“信用中国”网站（www.creditchina.gov.cn）被列入失信被执行人、重大税收违法失信主体。</w:t>
      </w:r>
    </w:p>
    <w:p w14:paraId="733D51B8">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以联合体形式参加政府采购活动的，联合体任何成员存在以上不良信用记录的，联合体响应文件将被认定为无效响应。</w:t>
      </w:r>
    </w:p>
    <w:p w14:paraId="7F8AB68E">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（2）查询及记录方式：采购代理机构经办人将查询网页打印并存档备查。供应商不良信用记录以采购人或采购代理机构查询结果为准。</w:t>
      </w:r>
    </w:p>
    <w:p w14:paraId="2E045146">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在本磋商文件规定的查询时间之后，网站信息发生的任何变更均不再作为评审依据。</w:t>
      </w:r>
      <w:r>
        <w:rPr>
          <w:rFonts w:hint="eastAsia" w:cs="宋体"/>
          <w:color w:val="auto"/>
          <w:sz w:val="22"/>
          <w:szCs w:val="22"/>
          <w:highlight w:val="none"/>
          <w:lang w:eastAsia="zh-CN"/>
        </w:rPr>
        <w:t>供应商</w:t>
      </w:r>
      <w:r>
        <w:rPr>
          <w:rFonts w:hint="eastAsia" w:ascii="宋体" w:hAnsi="宋体" w:eastAsia="宋体" w:cs="宋体"/>
          <w:color w:val="auto"/>
          <w:sz w:val="22"/>
          <w:szCs w:val="22"/>
          <w:highlight w:val="none"/>
          <w:lang w:eastAsia="zh-CN"/>
        </w:rPr>
        <w:t>自行提供的与网站信息不一致的其他证明材料亦不作为资格审查依据。</w:t>
      </w:r>
    </w:p>
    <w:p w14:paraId="56B9BC80">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3.3磋商</w:t>
      </w:r>
    </w:p>
    <w:p w14:paraId="4198B349">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3.3.1磋商小组将集中根据磋商文件规定的程序、评定成交的标准等事项与实质性响应磋商文件要求的供应商分别进行磋商。在磋商中，磋商的任何一方不得透露与磋商有关的其他供应商的技术资料、价格和其他信息。</w:t>
      </w:r>
    </w:p>
    <w:p w14:paraId="043DB40D">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3.3.2在磋商过程中，磋商小组可以根据磋商文件和磋商情况，经采购人代表确认后变动采购需求中的技术、服务要求以及合同草案条例等实质性内容。</w:t>
      </w:r>
    </w:p>
    <w:p w14:paraId="294E9C07">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3.3.3对磋商文件作出实质性变动是磋商文件的有效组成部分，磋商小组将以书面形式同时通知所有参加磋商的供应商。</w:t>
      </w:r>
    </w:p>
    <w:p w14:paraId="710669DB">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3.3.4供应商应当按照磋商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53B6AE93">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3.4 最后报价</w:t>
      </w:r>
    </w:p>
    <w:p w14:paraId="3DDCFFBE">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3.4.1磋商结束后，磋商小组将要求所有实质性响应的供应商在规定时间内提交最后报价，且提交最后报价的供应商不少于 3 家，本须知第3.2.2条规定的情形除外。</w:t>
      </w:r>
    </w:p>
    <w:p w14:paraId="3FF69950">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3.4.2最后报价是供应商响应文件的有效组成部分。</w:t>
      </w:r>
    </w:p>
    <w:p w14:paraId="7A906DC5">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3.4.3已提交响应文件的供应商，在提交最后报价之前，可以根据磋商情况退出磋商，退出磋商不视为撤回响应文件，退出磋商不影响退出磋商的供应商对已经递交的响应文件承担法律、法规和磋商文件中规定的相应责任。采购人</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采购代理机构应当退还退出磋商的供应商的保证金（如有）。</w:t>
      </w:r>
    </w:p>
    <w:p w14:paraId="3290AAF2">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3.5.比较与评价</w:t>
      </w:r>
    </w:p>
    <w:p w14:paraId="5D5D49AF">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3.5.1磋商小组按本章第 2.2 款规定的量化因素和分值进行打分，并计算出综合评分得分。</w:t>
      </w:r>
    </w:p>
    <w:p w14:paraId="1D2134A8">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3.5.2评分分值计算保留小数点后两位，小数点后第三位“四舍五入”。</w:t>
      </w:r>
    </w:p>
    <w:p w14:paraId="79D8CBC6">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3.5.3供应商的最终得分以全部小组成员打分的算术平均值为准，作为该供应商的最终得分。</w:t>
      </w:r>
    </w:p>
    <w:p w14:paraId="1C9BE794">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3.5.4在磋商过程中，凡遇到磋商文件中无界定或界定不清、前后不一致使磋商小组意见有分歧且又难以协商一致的问题，均由磋商小组予以表决，获半数以上同意的即为通过，未获半数同意的即为否决。</w:t>
      </w:r>
    </w:p>
    <w:p w14:paraId="665C947A">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3.6响应文件的澄清和补正</w:t>
      </w:r>
    </w:p>
    <w:p w14:paraId="576D629E">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3.6.1在磋商期间，磋商小组可以书面要求供应商对其响应文件中含义不明确、同类问题表述不一致或者有明显文字和计算错误的内容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71BF8225">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（1）供应商的澄清、说明或者补正应当由法定代表人（或非法人组织负责人）或其授权代表签字或者加盖公章。供应商为自然人的，应当由本人签字并附身份证明。</w:t>
      </w:r>
    </w:p>
    <w:p w14:paraId="473CFFCD">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（2）供应商的澄清、说明或补正将作为响应文件的一部分。</w:t>
      </w:r>
    </w:p>
    <w:p w14:paraId="10E3A0A3">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3.6.2响应文件报价出现前后不一致的，按照下列规定修正：</w:t>
      </w:r>
    </w:p>
    <w:p w14:paraId="012A3CF5">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w:t>
      </w:r>
      <w:r>
        <w:rPr>
          <w:rFonts w:hint="eastAsia" w:ascii="宋体" w:hAnsi="宋体" w:eastAsia="宋体" w:cs="宋体"/>
          <w:color w:val="auto"/>
          <w:sz w:val="22"/>
          <w:szCs w:val="22"/>
          <w:highlight w:val="none"/>
          <w:lang w:val="en-US" w:eastAsia="zh-CN"/>
        </w:rPr>
        <w:t>大</w:t>
      </w:r>
      <w:r>
        <w:rPr>
          <w:rFonts w:hint="eastAsia" w:ascii="宋体" w:hAnsi="宋体" w:eastAsia="宋体" w:cs="宋体"/>
          <w:color w:val="auto"/>
          <w:sz w:val="22"/>
          <w:szCs w:val="22"/>
          <w:highlight w:val="none"/>
          <w:lang w:eastAsia="zh-CN"/>
        </w:rPr>
        <w:t>写金额和小写金额不一致的，以大写金额为准，但大写金额文字存在错误的，应当先对大写金额的文字错误进行澄清、说明或者更正，再行修正；</w:t>
      </w:r>
    </w:p>
    <w:p w14:paraId="7672E0BB">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）总价金额与按单价汇总金额不一致的，以单价金额计算结果为准，但单价或者单价汇总金额存在数字或者文字错误的，应当先对数字或者文字错误进行澄清、说明或者更正，再行修正。</w:t>
      </w:r>
    </w:p>
    <w:p w14:paraId="59644AFC">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lang w:eastAsia="zh-CN"/>
        </w:rPr>
      </w:pPr>
      <w:r>
        <w:rPr>
          <w:rFonts w:hint="eastAsia" w:ascii="宋体" w:hAnsi="宋体" w:eastAsia="宋体" w:cs="宋体"/>
          <w:color w:val="auto"/>
          <w:sz w:val="22"/>
          <w:szCs w:val="22"/>
          <w:highlight w:val="none"/>
          <w:lang w:eastAsia="zh-CN"/>
        </w:rPr>
        <w:t>（3）单价金额小数点或者百分比有明显错位的，以总价为准，修正单价；</w:t>
      </w:r>
    </w:p>
    <w:p w14:paraId="008F8D10">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同时出现两种以上不一致的，按照前款规定的顺序修正。修正后的报价经供应商确认后产生约束力，供应商不确认的，其响应文件将被认定为无效响应。</w:t>
      </w:r>
    </w:p>
    <w:p w14:paraId="5D1ECE15">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3.6.3磋商小组认为供应商的最后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667C0D87">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3.7.成交候选供应商的推荐原则及标准</w:t>
      </w:r>
    </w:p>
    <w:p w14:paraId="074BEF64">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3.7.1磋商结束后，除了算数修正和落实政府采购政策需进行的价格扣除外，不对供应商的响应价格进行任何调整。评审结果按照得分由高至低的顺序排序。</w:t>
      </w:r>
    </w:p>
    <w:p w14:paraId="06BB4290">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3.7.2除第二章“供应商须知前附表”授权直接确定成交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外，磋商小组按照得分由高到低的顺序推荐成交候选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w:t>
      </w:r>
    </w:p>
    <w:p w14:paraId="0FFF8C33">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3.7.3磋商小组完成评审后，应当向采购人提交书面评审报告。</w:t>
      </w:r>
    </w:p>
    <w:p w14:paraId="03A6E959">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3.7.4因推荐成交候选供应商名单产生其他问题，由磋商小组集体研究处理。</w:t>
      </w:r>
    </w:p>
    <w:p w14:paraId="6816BB74">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br w:type="page"/>
      </w:r>
    </w:p>
    <w:p w14:paraId="7CDAA247">
      <w:pPr>
        <w:pStyle w:val="49"/>
        <w:rPr>
          <w:rFonts w:hint="eastAsia" w:ascii="宋体" w:hAnsi="宋体" w:eastAsia="宋体" w:cs="宋体"/>
          <w:lang w:eastAsia="zh-CN"/>
        </w:rPr>
      </w:pPr>
    </w:p>
    <w:p w14:paraId="413BC999">
      <w:pPr>
        <w:numPr>
          <w:ilvl w:val="0"/>
          <w:numId w:val="0"/>
        </w:numPr>
        <w:tabs>
          <w:tab w:val="left" w:pos="4141"/>
        </w:tabs>
        <w:spacing w:before="62" w:line="360" w:lineRule="auto"/>
        <w:jc w:val="center"/>
        <w:outlineLvl w:val="0"/>
        <w:rPr>
          <w:rFonts w:hint="eastAsia" w:ascii="宋体" w:hAnsi="宋体" w:eastAsia="宋体" w:cs="宋体"/>
          <w:b/>
          <w:color w:val="auto"/>
          <w:sz w:val="32"/>
          <w:szCs w:val="32"/>
          <w:highlight w:val="none"/>
        </w:rPr>
      </w:pPr>
      <w:bookmarkStart w:id="57" w:name="_bookmark4"/>
      <w:bookmarkEnd w:id="57"/>
      <w:bookmarkStart w:id="58" w:name="_Toc7550"/>
      <w:r>
        <w:rPr>
          <w:rFonts w:hint="eastAsia" w:ascii="宋体" w:hAnsi="宋体" w:eastAsia="宋体" w:cs="宋体"/>
          <w:b/>
          <w:color w:val="auto"/>
          <w:sz w:val="32"/>
          <w:szCs w:val="32"/>
          <w:highlight w:val="none"/>
          <w:lang w:val="en-US" w:eastAsia="zh-CN"/>
        </w:rPr>
        <w:t xml:space="preserve">第四章  </w:t>
      </w:r>
      <w:r>
        <w:rPr>
          <w:rFonts w:hint="eastAsia" w:ascii="宋体" w:hAnsi="宋体" w:eastAsia="宋体" w:cs="宋体"/>
          <w:b/>
          <w:color w:val="auto"/>
          <w:sz w:val="32"/>
          <w:szCs w:val="32"/>
          <w:highlight w:val="none"/>
        </w:rPr>
        <w:t>合同条款及格式</w:t>
      </w:r>
      <w:bookmarkEnd w:id="58"/>
    </w:p>
    <w:p w14:paraId="293C746A">
      <w:pPr>
        <w:snapToGrid w:val="0"/>
        <w:spacing w:line="360" w:lineRule="auto"/>
        <w:rPr>
          <w:rFonts w:hint="eastAsia" w:ascii="宋体" w:hAnsi="宋体" w:eastAsia="宋体" w:cs="宋体"/>
          <w:spacing w:val="60"/>
          <w:sz w:val="28"/>
        </w:rPr>
      </w:pPr>
    </w:p>
    <w:p w14:paraId="1EEB70E1">
      <w:pPr>
        <w:snapToGrid w:val="0"/>
        <w:spacing w:line="360" w:lineRule="auto"/>
        <w:rPr>
          <w:rFonts w:hint="eastAsia" w:ascii="宋体" w:hAnsi="宋体" w:eastAsia="宋体" w:cs="宋体"/>
          <w:b/>
          <w:bCs/>
          <w:sz w:val="24"/>
        </w:rPr>
      </w:pPr>
      <w:r>
        <w:rPr>
          <w:rFonts w:hint="eastAsia" w:ascii="宋体" w:hAnsi="宋体" w:eastAsia="宋体" w:cs="宋体"/>
          <w:b/>
          <w:sz w:val="24"/>
        </w:rPr>
        <w:t>（ＧＦ－2012－0202）</w:t>
      </w:r>
    </w:p>
    <w:p w14:paraId="268E8A2D">
      <w:pPr>
        <w:snapToGrid w:val="0"/>
        <w:spacing w:line="360" w:lineRule="auto"/>
        <w:rPr>
          <w:rFonts w:hint="eastAsia" w:ascii="宋体" w:hAnsi="宋体" w:eastAsia="宋体" w:cs="宋体"/>
          <w:b/>
          <w:bCs/>
          <w:sz w:val="24"/>
        </w:rPr>
      </w:pPr>
    </w:p>
    <w:p w14:paraId="117B811C">
      <w:pPr>
        <w:snapToGrid w:val="0"/>
        <w:spacing w:line="360" w:lineRule="auto"/>
        <w:rPr>
          <w:rFonts w:hint="eastAsia" w:ascii="宋体" w:hAnsi="宋体" w:eastAsia="宋体" w:cs="宋体"/>
          <w:b/>
          <w:bCs/>
          <w:sz w:val="24"/>
        </w:rPr>
      </w:pPr>
    </w:p>
    <w:p w14:paraId="24E30337">
      <w:pPr>
        <w:snapToGrid w:val="0"/>
        <w:spacing w:line="360" w:lineRule="auto"/>
        <w:rPr>
          <w:rFonts w:hint="eastAsia" w:ascii="宋体" w:hAnsi="宋体" w:eastAsia="宋体" w:cs="宋体"/>
          <w:b/>
          <w:bCs/>
          <w:sz w:val="24"/>
        </w:rPr>
      </w:pPr>
    </w:p>
    <w:p w14:paraId="6332482B">
      <w:pPr>
        <w:snapToGrid w:val="0"/>
        <w:spacing w:line="360" w:lineRule="auto"/>
        <w:jc w:val="center"/>
        <w:rPr>
          <w:rFonts w:hint="eastAsia" w:ascii="宋体" w:hAnsi="宋体" w:eastAsia="宋体" w:cs="宋体"/>
          <w:b/>
          <w:bCs/>
          <w:sz w:val="24"/>
        </w:rPr>
      </w:pPr>
      <w:r>
        <w:rPr>
          <w:rFonts w:hint="eastAsia" w:ascii="宋体" w:hAnsi="宋体" w:eastAsia="宋体" w:cs="宋体"/>
          <w:b/>
          <w:bCs/>
          <w:sz w:val="24"/>
        </w:rPr>
        <w:t>建设工程监理合同</w:t>
      </w:r>
    </w:p>
    <w:p w14:paraId="329AB046">
      <w:pPr>
        <w:snapToGrid w:val="0"/>
        <w:spacing w:line="360" w:lineRule="auto"/>
        <w:jc w:val="center"/>
        <w:rPr>
          <w:rFonts w:hint="eastAsia" w:ascii="宋体" w:hAnsi="宋体" w:eastAsia="宋体" w:cs="宋体"/>
          <w:b/>
          <w:bCs/>
          <w:sz w:val="24"/>
        </w:rPr>
      </w:pPr>
      <w:r>
        <w:rPr>
          <w:rFonts w:hint="eastAsia" w:ascii="宋体" w:hAnsi="宋体" w:eastAsia="宋体" w:cs="宋体"/>
          <w:b/>
          <w:bCs/>
          <w:sz w:val="24"/>
        </w:rPr>
        <w:t>（示范文本）</w:t>
      </w:r>
    </w:p>
    <w:p w14:paraId="44175982">
      <w:pPr>
        <w:snapToGrid w:val="0"/>
        <w:spacing w:line="360" w:lineRule="auto"/>
        <w:rPr>
          <w:rFonts w:hint="eastAsia" w:ascii="宋体" w:hAnsi="宋体" w:eastAsia="宋体" w:cs="宋体"/>
          <w:bCs/>
          <w:sz w:val="24"/>
        </w:rPr>
      </w:pPr>
    </w:p>
    <w:p w14:paraId="6D80EAAF">
      <w:pPr>
        <w:snapToGrid w:val="0"/>
        <w:spacing w:line="360" w:lineRule="auto"/>
        <w:rPr>
          <w:rFonts w:hint="eastAsia" w:ascii="宋体" w:hAnsi="宋体" w:eastAsia="宋体" w:cs="宋体"/>
          <w:b/>
          <w:bCs/>
          <w:sz w:val="24"/>
        </w:rPr>
      </w:pPr>
    </w:p>
    <w:p w14:paraId="24AB04FA">
      <w:pPr>
        <w:snapToGrid w:val="0"/>
        <w:spacing w:line="360" w:lineRule="auto"/>
        <w:rPr>
          <w:rFonts w:hint="eastAsia" w:ascii="宋体" w:hAnsi="宋体" w:eastAsia="宋体" w:cs="宋体"/>
          <w:b/>
          <w:bCs/>
          <w:sz w:val="24"/>
        </w:rPr>
      </w:pPr>
    </w:p>
    <w:p w14:paraId="661137B5">
      <w:pPr>
        <w:snapToGrid w:val="0"/>
        <w:spacing w:line="360" w:lineRule="auto"/>
        <w:rPr>
          <w:rFonts w:hint="eastAsia" w:ascii="宋体" w:hAnsi="宋体" w:eastAsia="宋体" w:cs="宋体"/>
          <w:b/>
          <w:bCs/>
          <w:sz w:val="24"/>
        </w:rPr>
      </w:pPr>
    </w:p>
    <w:p w14:paraId="61C5A42F">
      <w:pPr>
        <w:snapToGrid w:val="0"/>
        <w:spacing w:line="360" w:lineRule="auto"/>
        <w:rPr>
          <w:rFonts w:hint="eastAsia" w:ascii="宋体" w:hAnsi="宋体" w:eastAsia="宋体" w:cs="宋体"/>
          <w:b/>
          <w:bCs/>
          <w:sz w:val="24"/>
        </w:rPr>
      </w:pPr>
    </w:p>
    <w:p w14:paraId="26504598">
      <w:pPr>
        <w:snapToGrid w:val="0"/>
        <w:spacing w:line="360" w:lineRule="auto"/>
        <w:rPr>
          <w:rFonts w:hint="eastAsia" w:ascii="宋体" w:hAnsi="宋体" w:eastAsia="宋体" w:cs="宋体"/>
          <w:b/>
          <w:bCs/>
          <w:sz w:val="24"/>
        </w:rPr>
      </w:pPr>
    </w:p>
    <w:p w14:paraId="30D96A80">
      <w:pPr>
        <w:snapToGrid w:val="0"/>
        <w:spacing w:line="360" w:lineRule="auto"/>
        <w:rPr>
          <w:rFonts w:hint="eastAsia" w:ascii="宋体" w:hAnsi="宋体" w:eastAsia="宋体" w:cs="宋体"/>
          <w:b/>
          <w:bCs/>
          <w:sz w:val="24"/>
        </w:rPr>
      </w:pPr>
    </w:p>
    <w:p w14:paraId="53BBF9E0">
      <w:pPr>
        <w:snapToGrid w:val="0"/>
        <w:spacing w:line="360" w:lineRule="auto"/>
        <w:rPr>
          <w:rFonts w:hint="eastAsia" w:ascii="宋体" w:hAnsi="宋体" w:eastAsia="宋体" w:cs="宋体"/>
          <w:b/>
          <w:bCs/>
          <w:sz w:val="24"/>
        </w:rPr>
      </w:pPr>
    </w:p>
    <w:p w14:paraId="62AB9763">
      <w:pPr>
        <w:snapToGrid w:val="0"/>
        <w:spacing w:line="360" w:lineRule="auto"/>
        <w:rPr>
          <w:rFonts w:hint="eastAsia" w:ascii="宋体" w:hAnsi="宋体" w:eastAsia="宋体" w:cs="宋体"/>
          <w:b/>
          <w:bCs/>
          <w:sz w:val="24"/>
        </w:rPr>
      </w:pPr>
    </w:p>
    <w:p w14:paraId="3E8E9241">
      <w:pPr>
        <w:snapToGrid w:val="0"/>
        <w:spacing w:line="360" w:lineRule="auto"/>
        <w:rPr>
          <w:rFonts w:hint="eastAsia" w:ascii="宋体" w:hAnsi="宋体" w:eastAsia="宋体" w:cs="宋体"/>
          <w:b/>
          <w:bCs/>
          <w:sz w:val="24"/>
        </w:rPr>
      </w:pPr>
    </w:p>
    <w:p w14:paraId="3DA5CCC9">
      <w:pPr>
        <w:snapToGrid w:val="0"/>
        <w:spacing w:line="360" w:lineRule="auto"/>
        <w:rPr>
          <w:rFonts w:hint="eastAsia" w:ascii="宋体" w:hAnsi="宋体" w:eastAsia="宋体" w:cs="宋体"/>
          <w:b/>
          <w:bCs/>
          <w:sz w:val="24"/>
        </w:rPr>
      </w:pPr>
    </w:p>
    <w:p w14:paraId="44376CBA">
      <w:pPr>
        <w:snapToGrid w:val="0"/>
        <w:spacing w:line="360" w:lineRule="auto"/>
        <w:rPr>
          <w:rFonts w:hint="eastAsia" w:ascii="宋体" w:hAnsi="宋体" w:eastAsia="宋体" w:cs="宋体"/>
          <w:b/>
          <w:bCs/>
          <w:sz w:val="24"/>
        </w:rPr>
      </w:pPr>
    </w:p>
    <w:p w14:paraId="5DFACB68">
      <w:pPr>
        <w:snapToGrid w:val="0"/>
        <w:spacing w:line="360" w:lineRule="auto"/>
        <w:rPr>
          <w:rFonts w:hint="eastAsia" w:ascii="宋体" w:hAnsi="宋体" w:eastAsia="宋体" w:cs="宋体"/>
          <w:b/>
          <w:bCs/>
          <w:sz w:val="24"/>
        </w:rPr>
      </w:pPr>
    </w:p>
    <w:p w14:paraId="3E1D0AC0">
      <w:pPr>
        <w:snapToGrid w:val="0"/>
        <w:spacing w:line="360" w:lineRule="auto"/>
        <w:jc w:val="center"/>
        <w:rPr>
          <w:rFonts w:hint="eastAsia" w:ascii="宋体" w:hAnsi="宋体" w:eastAsia="宋体" w:cs="宋体"/>
          <w:b/>
          <w:sz w:val="24"/>
        </w:rPr>
      </w:pPr>
      <w:r>
        <w:rPr>
          <w:rFonts w:hint="eastAsia" w:ascii="宋体" w:hAnsi="宋体" w:eastAsia="宋体" w:cs="宋体"/>
          <w:b/>
          <w:bCs/>
          <w:sz w:val="24"/>
        </w:rPr>
        <w:t xml:space="preserve">  住房和城乡建设部</w:t>
      </w:r>
    </w:p>
    <w:p w14:paraId="53F68C21">
      <w:pPr>
        <w:snapToGrid w:val="0"/>
        <w:spacing w:line="360" w:lineRule="auto"/>
        <w:jc w:val="center"/>
        <w:rPr>
          <w:rFonts w:hint="eastAsia" w:ascii="宋体" w:hAnsi="宋体" w:eastAsia="宋体" w:cs="宋体"/>
          <w:b/>
          <w:sz w:val="24"/>
        </w:rPr>
      </w:pPr>
      <w:r>
        <w:rPr>
          <w:rFonts w:hint="eastAsia" w:ascii="宋体" w:hAnsi="宋体" w:eastAsia="宋体" w:cs="宋体"/>
          <w:b/>
          <w:sz w:val="24"/>
        </w:rPr>
        <w:t xml:space="preserve">                                                          制定</w:t>
      </w:r>
    </w:p>
    <w:p w14:paraId="53F0E386">
      <w:pPr>
        <w:snapToGrid w:val="0"/>
        <w:spacing w:line="360" w:lineRule="auto"/>
        <w:jc w:val="center"/>
        <w:rPr>
          <w:rFonts w:hint="eastAsia" w:ascii="宋体" w:hAnsi="宋体" w:eastAsia="宋体" w:cs="宋体"/>
          <w:b/>
          <w:sz w:val="24"/>
        </w:rPr>
      </w:pPr>
      <w:r>
        <w:rPr>
          <w:rFonts w:hint="eastAsia" w:ascii="宋体" w:hAnsi="宋体" w:eastAsia="宋体" w:cs="宋体"/>
          <w:b/>
          <w:bCs/>
          <w:sz w:val="24"/>
        </w:rPr>
        <w:t xml:space="preserve">   国家工商行政管理总局</w:t>
      </w:r>
    </w:p>
    <w:p w14:paraId="5E5B4F89">
      <w:pPr>
        <w:rPr>
          <w:rFonts w:hint="eastAsia" w:ascii="宋体" w:hAnsi="宋体" w:eastAsia="宋体" w:cs="宋体"/>
          <w:b/>
          <w:bCs/>
          <w:szCs w:val="21"/>
        </w:rPr>
      </w:pPr>
      <w:bookmarkStart w:id="59" w:name="_Toc13459"/>
      <w:bookmarkStart w:id="60" w:name="_Toc19078"/>
      <w:bookmarkStart w:id="61" w:name="_Toc10887"/>
      <w:bookmarkStart w:id="62" w:name="_Toc22917"/>
      <w:bookmarkStart w:id="63" w:name="_Toc26496"/>
      <w:bookmarkStart w:id="64" w:name="_Toc28779"/>
      <w:bookmarkStart w:id="65" w:name="_Toc24469"/>
      <w:bookmarkStart w:id="66" w:name="_Toc17037"/>
      <w:r>
        <w:rPr>
          <w:rFonts w:hint="eastAsia" w:ascii="宋体" w:hAnsi="宋体" w:eastAsia="宋体" w:cs="宋体"/>
          <w:b/>
          <w:bCs/>
          <w:szCs w:val="21"/>
        </w:rPr>
        <w:br w:type="page"/>
      </w:r>
    </w:p>
    <w:p w14:paraId="3C9F0389">
      <w:pPr>
        <w:spacing w:line="360" w:lineRule="auto"/>
        <w:jc w:val="center"/>
        <w:outlineLvl w:val="1"/>
        <w:rPr>
          <w:rFonts w:hint="eastAsia" w:ascii="宋体" w:hAnsi="宋体" w:eastAsia="宋体" w:cs="宋体"/>
          <w:b/>
          <w:szCs w:val="21"/>
        </w:rPr>
      </w:pPr>
      <w:bookmarkStart w:id="67" w:name="_Toc21019"/>
      <w:r>
        <w:rPr>
          <w:rFonts w:hint="eastAsia" w:ascii="宋体" w:hAnsi="宋体" w:eastAsia="宋体" w:cs="宋体"/>
          <w:b/>
          <w:bCs/>
          <w:szCs w:val="21"/>
        </w:rPr>
        <w:t>第一部分  协议书</w:t>
      </w:r>
      <w:bookmarkEnd w:id="59"/>
      <w:bookmarkEnd w:id="67"/>
    </w:p>
    <w:bookmarkEnd w:id="60"/>
    <w:bookmarkEnd w:id="61"/>
    <w:bookmarkEnd w:id="62"/>
    <w:bookmarkEnd w:id="63"/>
    <w:bookmarkEnd w:id="64"/>
    <w:bookmarkEnd w:id="65"/>
    <w:bookmarkEnd w:id="66"/>
    <w:p w14:paraId="5868D8C3">
      <w:pPr>
        <w:keepNext w:val="0"/>
        <w:keepLines w:val="0"/>
        <w:kinsoku/>
        <w:wordWrap/>
        <w:overflowPunct/>
        <w:topLinePunct w:val="0"/>
        <w:bidi w:val="0"/>
        <w:spacing w:line="440" w:lineRule="exact"/>
        <w:ind w:firstLine="442" w:firstLineChars="200"/>
        <w:textAlignment w:val="auto"/>
        <w:rPr>
          <w:rFonts w:hint="eastAsia" w:ascii="宋体" w:hAnsi="宋体" w:eastAsia="宋体" w:cs="宋体"/>
          <w:b/>
          <w:bCs/>
          <w:szCs w:val="21"/>
        </w:rPr>
      </w:pPr>
      <w:bookmarkStart w:id="68" w:name="_Toc337673492"/>
      <w:bookmarkStart w:id="69" w:name="_Toc331195281"/>
      <w:r>
        <w:rPr>
          <w:rFonts w:hint="eastAsia" w:ascii="宋体" w:hAnsi="宋体" w:eastAsia="宋体" w:cs="宋体"/>
          <w:b/>
          <w:bCs/>
          <w:szCs w:val="21"/>
        </w:rPr>
        <w:t>委托人（全称）：</w:t>
      </w:r>
      <w:r>
        <w:rPr>
          <w:rFonts w:hint="eastAsia" w:ascii="宋体" w:hAnsi="宋体" w:cs="宋体"/>
          <w:highlight w:val="none"/>
          <w:u w:val="single"/>
          <w:lang w:eastAsia="zh-CN"/>
        </w:rPr>
        <w:t>河南省开封生态环境监测中心</w:t>
      </w:r>
    </w:p>
    <w:p w14:paraId="5BEB1505">
      <w:pPr>
        <w:keepNext w:val="0"/>
        <w:keepLines w:val="0"/>
        <w:kinsoku/>
        <w:wordWrap/>
        <w:overflowPunct/>
        <w:topLinePunct w:val="0"/>
        <w:bidi w:val="0"/>
        <w:spacing w:line="440" w:lineRule="exact"/>
        <w:ind w:firstLine="442" w:firstLineChars="200"/>
        <w:textAlignment w:val="auto"/>
        <w:rPr>
          <w:rFonts w:hint="eastAsia" w:ascii="宋体" w:hAnsi="宋体" w:eastAsia="宋体" w:cs="宋体"/>
          <w:b/>
          <w:bCs/>
          <w:szCs w:val="21"/>
        </w:rPr>
      </w:pPr>
      <w:r>
        <w:rPr>
          <w:rFonts w:hint="eastAsia" w:ascii="宋体" w:hAnsi="宋体" w:eastAsia="宋体" w:cs="宋体"/>
          <w:b/>
          <w:bCs/>
          <w:szCs w:val="21"/>
        </w:rPr>
        <w:t>监理人（全称）：</w:t>
      </w:r>
      <w:r>
        <w:rPr>
          <w:rFonts w:hint="eastAsia" w:ascii="宋体" w:hAnsi="宋体" w:eastAsia="宋体" w:cs="宋体"/>
          <w:b/>
          <w:bCs/>
          <w:szCs w:val="21"/>
          <w:u w:val="single"/>
        </w:rPr>
        <w:t xml:space="preserve">                              </w:t>
      </w:r>
    </w:p>
    <w:p w14:paraId="1CB28DDF">
      <w:pPr>
        <w:keepNext w:val="0"/>
        <w:keepLines w:val="0"/>
        <w:widowControl/>
        <w:kinsoku/>
        <w:wordWrap/>
        <w:overflowPunct/>
        <w:topLinePunct w:val="0"/>
        <w:bidi w:val="0"/>
        <w:spacing w:line="440" w:lineRule="exact"/>
        <w:ind w:firstLine="440" w:firstLineChars="200"/>
        <w:jc w:val="left"/>
        <w:textAlignment w:val="auto"/>
        <w:rPr>
          <w:rFonts w:hint="eastAsia" w:ascii="宋体" w:hAnsi="宋体" w:eastAsia="宋体" w:cs="宋体"/>
          <w:szCs w:val="21"/>
        </w:rPr>
      </w:pPr>
      <w:r>
        <w:rPr>
          <w:rFonts w:hint="eastAsia" w:ascii="宋体" w:hAnsi="宋体" w:eastAsia="宋体" w:cs="宋体"/>
          <w:kern w:val="0"/>
          <w:szCs w:val="21"/>
          <w:lang w:bidi="ar"/>
        </w:rPr>
        <w:t>根据《中华人民共和国</w:t>
      </w:r>
      <w:r>
        <w:rPr>
          <w:rFonts w:hint="eastAsia" w:ascii="宋体" w:hAnsi="宋体" w:cs="宋体"/>
          <w:kern w:val="0"/>
          <w:szCs w:val="21"/>
          <w:lang w:eastAsia="zh-CN" w:bidi="ar"/>
        </w:rPr>
        <w:t>民法典</w:t>
      </w:r>
      <w:r>
        <w:rPr>
          <w:rFonts w:hint="eastAsia" w:ascii="宋体" w:hAnsi="宋体" w:eastAsia="宋体" w:cs="宋体"/>
          <w:kern w:val="0"/>
          <w:szCs w:val="21"/>
          <w:lang w:bidi="ar"/>
        </w:rPr>
        <w:t xml:space="preserve">》、《中华人民共和国建筑法》及其他有关法律、法规，遵循平 等、自愿、公平和诚信的原则，双方就下述工程委托监理与相关服务事项协商一致，订立本合同。 </w:t>
      </w:r>
    </w:p>
    <w:p w14:paraId="3761544C">
      <w:pPr>
        <w:keepNext w:val="0"/>
        <w:keepLines w:val="0"/>
        <w:kinsoku/>
        <w:wordWrap/>
        <w:overflowPunct/>
        <w:topLinePunct w:val="0"/>
        <w:bidi w:val="0"/>
        <w:spacing w:line="440" w:lineRule="exact"/>
        <w:ind w:firstLine="442" w:firstLineChars="200"/>
        <w:textAlignment w:val="auto"/>
        <w:rPr>
          <w:rFonts w:hint="eastAsia" w:ascii="宋体" w:hAnsi="宋体" w:eastAsia="宋体" w:cs="宋体"/>
          <w:b/>
          <w:bCs/>
          <w:szCs w:val="21"/>
        </w:rPr>
      </w:pPr>
      <w:r>
        <w:rPr>
          <w:rFonts w:hint="eastAsia" w:ascii="宋体" w:hAnsi="宋体" w:eastAsia="宋体" w:cs="宋体"/>
          <w:b/>
          <w:bCs/>
          <w:szCs w:val="21"/>
        </w:rPr>
        <w:t xml:space="preserve">一、工程概况 </w:t>
      </w:r>
    </w:p>
    <w:p w14:paraId="6DDB7886">
      <w:pPr>
        <w:keepNext w:val="0"/>
        <w:keepLines w:val="0"/>
        <w:widowControl/>
        <w:kinsoku/>
        <w:wordWrap/>
        <w:overflowPunct/>
        <w:topLinePunct w:val="0"/>
        <w:bidi w:val="0"/>
        <w:spacing w:line="440" w:lineRule="exact"/>
        <w:ind w:firstLine="440" w:firstLineChars="200"/>
        <w:jc w:val="left"/>
        <w:textAlignment w:val="auto"/>
        <w:rPr>
          <w:rFonts w:hint="eastAsia" w:ascii="宋体" w:hAnsi="宋体" w:eastAsia="宋体" w:cs="宋体"/>
          <w:szCs w:val="21"/>
        </w:rPr>
      </w:pPr>
      <w:r>
        <w:rPr>
          <w:rFonts w:hint="eastAsia" w:ascii="宋体" w:hAnsi="宋体" w:eastAsia="宋体" w:cs="宋体"/>
          <w:kern w:val="0"/>
          <w:szCs w:val="21"/>
          <w:lang w:bidi="ar"/>
        </w:rPr>
        <w:t>1. 工程名称：</w:t>
      </w:r>
      <w:r>
        <w:rPr>
          <w:rFonts w:hint="eastAsia" w:ascii="宋体" w:hAnsi="宋体" w:cs="宋体"/>
          <w:szCs w:val="21"/>
          <w:u w:val="single"/>
          <w:lang w:val="en-US" w:eastAsia="zh-CN"/>
        </w:rPr>
        <w:t xml:space="preserve">                  </w:t>
      </w:r>
      <w:r>
        <w:rPr>
          <w:rFonts w:hint="eastAsia" w:ascii="宋体" w:hAnsi="宋体" w:eastAsia="宋体" w:cs="宋体"/>
          <w:kern w:val="0"/>
          <w:szCs w:val="21"/>
          <w:u w:val="single"/>
          <w:lang w:bidi="ar"/>
        </w:rPr>
        <w:t xml:space="preserve"> </w:t>
      </w:r>
    </w:p>
    <w:p w14:paraId="73BEFEA5">
      <w:pPr>
        <w:keepNext w:val="0"/>
        <w:keepLines w:val="0"/>
        <w:widowControl/>
        <w:kinsoku/>
        <w:wordWrap/>
        <w:overflowPunct/>
        <w:topLinePunct w:val="0"/>
        <w:bidi w:val="0"/>
        <w:spacing w:line="440" w:lineRule="exact"/>
        <w:ind w:left="2042" w:leftChars="228" w:hanging="1540" w:hangingChars="700"/>
        <w:jc w:val="left"/>
        <w:textAlignment w:val="auto"/>
        <w:rPr>
          <w:rFonts w:hint="eastAsia" w:ascii="宋体" w:hAnsi="宋体" w:eastAsia="宋体" w:cs="宋体"/>
          <w:kern w:val="0"/>
          <w:szCs w:val="21"/>
          <w:lang w:bidi="ar"/>
        </w:rPr>
      </w:pPr>
      <w:r>
        <w:rPr>
          <w:rFonts w:hint="eastAsia" w:ascii="宋体" w:hAnsi="宋体" w:eastAsia="宋体" w:cs="宋体"/>
          <w:kern w:val="0"/>
          <w:szCs w:val="21"/>
          <w:lang w:bidi="ar"/>
        </w:rPr>
        <w:t>2. 工程地点：</w:t>
      </w:r>
      <w:r>
        <w:rPr>
          <w:rFonts w:hint="eastAsia" w:ascii="宋体" w:hAnsi="宋体" w:eastAsia="宋体" w:cs="宋体"/>
          <w:kern w:val="0"/>
          <w:szCs w:val="21"/>
          <w:u w:val="single"/>
          <w:lang w:val="en-US" w:eastAsia="zh-CN" w:bidi="ar"/>
        </w:rPr>
        <w:t>河南省开封市</w:t>
      </w:r>
      <w:r>
        <w:rPr>
          <w:rFonts w:hint="eastAsia" w:ascii="宋体" w:hAnsi="宋体" w:eastAsia="宋体" w:cs="宋体"/>
          <w:kern w:val="0"/>
          <w:szCs w:val="21"/>
          <w:lang w:bidi="ar"/>
        </w:rPr>
        <w:t>；</w:t>
      </w:r>
    </w:p>
    <w:p w14:paraId="002D125F">
      <w:pPr>
        <w:keepNext w:val="0"/>
        <w:keepLines w:val="0"/>
        <w:widowControl/>
        <w:kinsoku/>
        <w:wordWrap/>
        <w:overflowPunct/>
        <w:topLinePunct w:val="0"/>
        <w:bidi w:val="0"/>
        <w:spacing w:line="440" w:lineRule="exact"/>
        <w:ind w:left="2042" w:leftChars="228" w:hanging="1540" w:hangingChars="700"/>
        <w:jc w:val="left"/>
        <w:textAlignment w:val="auto"/>
        <w:rPr>
          <w:rFonts w:hint="eastAsia" w:ascii="宋体" w:hAnsi="宋体" w:eastAsia="宋体" w:cs="宋体"/>
          <w:kern w:val="0"/>
          <w:szCs w:val="21"/>
          <w:lang w:bidi="ar"/>
        </w:rPr>
      </w:pPr>
      <w:r>
        <w:rPr>
          <w:rFonts w:hint="eastAsia" w:ascii="宋体" w:hAnsi="宋体" w:eastAsia="宋体" w:cs="宋体"/>
          <w:kern w:val="0"/>
          <w:szCs w:val="21"/>
          <w:lang w:bidi="ar"/>
        </w:rPr>
        <w:t xml:space="preserve">3. 工程规模： </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37890C0B">
      <w:pPr>
        <w:keepNext w:val="0"/>
        <w:keepLines w:val="0"/>
        <w:widowControl/>
        <w:kinsoku/>
        <w:wordWrap/>
        <w:overflowPunct/>
        <w:topLinePunct w:val="0"/>
        <w:bidi w:val="0"/>
        <w:spacing w:line="440" w:lineRule="exact"/>
        <w:ind w:firstLine="440" w:firstLineChars="200"/>
        <w:jc w:val="left"/>
        <w:textAlignment w:val="auto"/>
        <w:rPr>
          <w:rFonts w:hint="eastAsia" w:ascii="宋体" w:hAnsi="宋体" w:eastAsia="宋体" w:cs="宋体"/>
          <w:szCs w:val="21"/>
        </w:rPr>
      </w:pPr>
      <w:r>
        <w:rPr>
          <w:rFonts w:hint="eastAsia" w:ascii="宋体" w:hAnsi="宋体" w:eastAsia="宋体" w:cs="宋体"/>
          <w:kern w:val="0"/>
          <w:szCs w:val="21"/>
          <w:lang w:bidi="ar"/>
        </w:rPr>
        <w:t>4. 工程概算投资额或建筑安装工程费：</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217E1F39">
      <w:pPr>
        <w:keepNext w:val="0"/>
        <w:keepLines w:val="0"/>
        <w:kinsoku/>
        <w:wordWrap/>
        <w:overflowPunct/>
        <w:topLinePunct w:val="0"/>
        <w:bidi w:val="0"/>
        <w:spacing w:line="440" w:lineRule="exact"/>
        <w:ind w:firstLine="442" w:firstLineChars="200"/>
        <w:textAlignment w:val="auto"/>
        <w:rPr>
          <w:rFonts w:hint="eastAsia" w:ascii="宋体" w:hAnsi="宋体" w:eastAsia="宋体" w:cs="宋体"/>
          <w:b/>
          <w:bCs/>
          <w:szCs w:val="21"/>
        </w:rPr>
      </w:pPr>
      <w:r>
        <w:rPr>
          <w:rFonts w:hint="eastAsia" w:ascii="宋体" w:hAnsi="宋体" w:eastAsia="宋体" w:cs="宋体"/>
          <w:b/>
          <w:bCs/>
          <w:szCs w:val="21"/>
        </w:rPr>
        <w:t xml:space="preserve">二、词语限定 </w:t>
      </w:r>
    </w:p>
    <w:p w14:paraId="30F1AA24">
      <w:pPr>
        <w:keepNext w:val="0"/>
        <w:keepLines w:val="0"/>
        <w:widowControl/>
        <w:kinsoku/>
        <w:wordWrap/>
        <w:overflowPunct/>
        <w:topLinePunct w:val="0"/>
        <w:bidi w:val="0"/>
        <w:spacing w:line="440" w:lineRule="exact"/>
        <w:ind w:firstLine="440" w:firstLineChars="200"/>
        <w:jc w:val="left"/>
        <w:textAlignment w:val="auto"/>
        <w:rPr>
          <w:rFonts w:hint="eastAsia" w:ascii="宋体" w:hAnsi="宋体" w:eastAsia="宋体" w:cs="宋体"/>
          <w:szCs w:val="21"/>
        </w:rPr>
      </w:pPr>
      <w:r>
        <w:rPr>
          <w:rFonts w:hint="eastAsia" w:ascii="宋体" w:hAnsi="宋体" w:eastAsia="宋体" w:cs="宋体"/>
          <w:kern w:val="0"/>
          <w:szCs w:val="21"/>
          <w:lang w:bidi="ar"/>
        </w:rPr>
        <w:t xml:space="preserve">协议书中相关词语的含义与通用条件中的定义与解释相同。 </w:t>
      </w:r>
    </w:p>
    <w:p w14:paraId="1806B616">
      <w:pPr>
        <w:keepNext w:val="0"/>
        <w:keepLines w:val="0"/>
        <w:kinsoku/>
        <w:wordWrap/>
        <w:overflowPunct/>
        <w:topLinePunct w:val="0"/>
        <w:bidi w:val="0"/>
        <w:spacing w:line="440" w:lineRule="exact"/>
        <w:ind w:firstLine="442" w:firstLineChars="200"/>
        <w:textAlignment w:val="auto"/>
        <w:rPr>
          <w:rFonts w:hint="eastAsia" w:ascii="宋体" w:hAnsi="宋体" w:eastAsia="宋体" w:cs="宋体"/>
          <w:b/>
          <w:bCs/>
          <w:szCs w:val="21"/>
        </w:rPr>
      </w:pPr>
      <w:r>
        <w:rPr>
          <w:rFonts w:hint="eastAsia" w:ascii="宋体" w:hAnsi="宋体" w:eastAsia="宋体" w:cs="宋体"/>
          <w:b/>
          <w:bCs/>
          <w:szCs w:val="21"/>
        </w:rPr>
        <w:t xml:space="preserve">三、组成本合同的文件 </w:t>
      </w:r>
    </w:p>
    <w:p w14:paraId="325E062D">
      <w:pPr>
        <w:keepNext w:val="0"/>
        <w:keepLines w:val="0"/>
        <w:widowControl/>
        <w:kinsoku/>
        <w:wordWrap/>
        <w:overflowPunct/>
        <w:topLinePunct w:val="0"/>
        <w:bidi w:val="0"/>
        <w:spacing w:line="440" w:lineRule="exact"/>
        <w:ind w:firstLine="385" w:firstLineChars="175"/>
        <w:jc w:val="left"/>
        <w:textAlignment w:val="auto"/>
        <w:rPr>
          <w:rFonts w:hint="eastAsia" w:ascii="宋体" w:hAnsi="宋体" w:eastAsia="宋体" w:cs="宋体"/>
          <w:szCs w:val="21"/>
        </w:rPr>
      </w:pPr>
      <w:r>
        <w:rPr>
          <w:rFonts w:hint="eastAsia" w:ascii="宋体" w:hAnsi="宋体" w:eastAsia="宋体" w:cs="宋体"/>
          <w:kern w:val="0"/>
          <w:szCs w:val="21"/>
          <w:lang w:bidi="ar"/>
        </w:rPr>
        <w:t xml:space="preserve">1. 协议书； </w:t>
      </w:r>
    </w:p>
    <w:p w14:paraId="3D8BA277">
      <w:pPr>
        <w:keepNext w:val="0"/>
        <w:keepLines w:val="0"/>
        <w:widowControl/>
        <w:kinsoku/>
        <w:wordWrap/>
        <w:overflowPunct/>
        <w:topLinePunct w:val="0"/>
        <w:bidi w:val="0"/>
        <w:spacing w:line="440" w:lineRule="exact"/>
        <w:ind w:firstLine="385" w:firstLineChars="175"/>
        <w:jc w:val="left"/>
        <w:textAlignment w:val="auto"/>
        <w:rPr>
          <w:rFonts w:hint="eastAsia" w:ascii="宋体" w:hAnsi="宋体" w:eastAsia="宋体" w:cs="宋体"/>
          <w:szCs w:val="21"/>
        </w:rPr>
      </w:pPr>
      <w:r>
        <w:rPr>
          <w:rFonts w:hint="eastAsia" w:ascii="宋体" w:hAnsi="宋体" w:eastAsia="宋体" w:cs="宋体"/>
          <w:kern w:val="0"/>
          <w:szCs w:val="21"/>
          <w:lang w:bidi="ar"/>
        </w:rPr>
        <w:t xml:space="preserve">2. 中标通知书； </w:t>
      </w:r>
    </w:p>
    <w:p w14:paraId="09BFAFB3">
      <w:pPr>
        <w:keepNext w:val="0"/>
        <w:keepLines w:val="0"/>
        <w:widowControl/>
        <w:kinsoku/>
        <w:wordWrap/>
        <w:overflowPunct/>
        <w:topLinePunct w:val="0"/>
        <w:bidi w:val="0"/>
        <w:spacing w:line="440" w:lineRule="exact"/>
        <w:ind w:firstLine="385" w:firstLineChars="175"/>
        <w:jc w:val="left"/>
        <w:textAlignment w:val="auto"/>
        <w:rPr>
          <w:rFonts w:hint="eastAsia" w:ascii="宋体" w:hAnsi="宋体" w:eastAsia="宋体" w:cs="宋体"/>
          <w:szCs w:val="21"/>
        </w:rPr>
      </w:pPr>
      <w:r>
        <w:rPr>
          <w:rFonts w:hint="eastAsia" w:ascii="宋体" w:hAnsi="宋体" w:eastAsia="宋体" w:cs="宋体"/>
          <w:kern w:val="0"/>
          <w:szCs w:val="21"/>
          <w:lang w:bidi="ar"/>
        </w:rPr>
        <w:t xml:space="preserve">3. </w:t>
      </w:r>
      <w:r>
        <w:rPr>
          <w:rFonts w:hint="eastAsia" w:ascii="宋体" w:hAnsi="宋体" w:eastAsia="宋体" w:cs="宋体"/>
          <w:kern w:val="0"/>
          <w:szCs w:val="21"/>
          <w:lang w:val="en-US" w:eastAsia="zh-CN" w:bidi="ar"/>
        </w:rPr>
        <w:t>响应</w:t>
      </w:r>
      <w:r>
        <w:rPr>
          <w:rFonts w:hint="eastAsia" w:ascii="宋体" w:hAnsi="宋体" w:eastAsia="宋体" w:cs="宋体"/>
          <w:kern w:val="0"/>
          <w:szCs w:val="21"/>
          <w:lang w:bidi="ar"/>
        </w:rPr>
        <w:t xml:space="preserve">文件； </w:t>
      </w:r>
    </w:p>
    <w:p w14:paraId="19528D4D">
      <w:pPr>
        <w:keepNext w:val="0"/>
        <w:keepLines w:val="0"/>
        <w:widowControl/>
        <w:kinsoku/>
        <w:wordWrap/>
        <w:overflowPunct/>
        <w:topLinePunct w:val="0"/>
        <w:bidi w:val="0"/>
        <w:spacing w:line="440" w:lineRule="exact"/>
        <w:ind w:firstLine="385" w:firstLineChars="175"/>
        <w:jc w:val="left"/>
        <w:textAlignment w:val="auto"/>
        <w:rPr>
          <w:rFonts w:hint="eastAsia" w:ascii="宋体" w:hAnsi="宋体" w:eastAsia="宋体" w:cs="宋体"/>
          <w:szCs w:val="21"/>
        </w:rPr>
      </w:pPr>
      <w:r>
        <w:rPr>
          <w:rFonts w:hint="eastAsia" w:ascii="宋体" w:hAnsi="宋体" w:eastAsia="宋体" w:cs="宋体"/>
          <w:kern w:val="0"/>
          <w:szCs w:val="21"/>
          <w:lang w:bidi="ar"/>
        </w:rPr>
        <w:t xml:space="preserve">4. 专用条件； </w:t>
      </w:r>
    </w:p>
    <w:p w14:paraId="2D85B730">
      <w:pPr>
        <w:keepNext w:val="0"/>
        <w:keepLines w:val="0"/>
        <w:widowControl/>
        <w:kinsoku/>
        <w:wordWrap/>
        <w:overflowPunct/>
        <w:topLinePunct w:val="0"/>
        <w:bidi w:val="0"/>
        <w:spacing w:line="440" w:lineRule="exact"/>
        <w:ind w:firstLine="385" w:firstLineChars="175"/>
        <w:jc w:val="left"/>
        <w:textAlignment w:val="auto"/>
        <w:rPr>
          <w:rFonts w:hint="eastAsia" w:ascii="宋体" w:hAnsi="宋体" w:eastAsia="宋体" w:cs="宋体"/>
          <w:szCs w:val="21"/>
        </w:rPr>
      </w:pPr>
      <w:r>
        <w:rPr>
          <w:rFonts w:hint="eastAsia" w:ascii="宋体" w:hAnsi="宋体" w:eastAsia="宋体" w:cs="宋体"/>
          <w:kern w:val="0"/>
          <w:szCs w:val="21"/>
          <w:lang w:bidi="ar"/>
        </w:rPr>
        <w:t xml:space="preserve">5. 通用条件； </w:t>
      </w:r>
    </w:p>
    <w:p w14:paraId="5587F67C">
      <w:pPr>
        <w:keepNext w:val="0"/>
        <w:keepLines w:val="0"/>
        <w:widowControl/>
        <w:kinsoku/>
        <w:wordWrap/>
        <w:overflowPunct/>
        <w:topLinePunct w:val="0"/>
        <w:bidi w:val="0"/>
        <w:spacing w:line="440" w:lineRule="exact"/>
        <w:ind w:firstLine="385" w:firstLineChars="175"/>
        <w:jc w:val="left"/>
        <w:textAlignment w:val="auto"/>
        <w:rPr>
          <w:rFonts w:hint="eastAsia" w:ascii="宋体" w:hAnsi="宋体" w:eastAsia="宋体" w:cs="宋体"/>
          <w:szCs w:val="21"/>
        </w:rPr>
      </w:pPr>
      <w:r>
        <w:rPr>
          <w:rFonts w:hint="eastAsia" w:ascii="宋体" w:hAnsi="宋体" w:eastAsia="宋体" w:cs="宋体"/>
          <w:kern w:val="0"/>
          <w:szCs w:val="21"/>
          <w:lang w:bidi="ar"/>
        </w:rPr>
        <w:t xml:space="preserve">6. 附录，即： </w:t>
      </w:r>
    </w:p>
    <w:p w14:paraId="7EA6BFD0">
      <w:pPr>
        <w:keepNext w:val="0"/>
        <w:keepLines w:val="0"/>
        <w:widowControl/>
        <w:kinsoku/>
        <w:wordWrap/>
        <w:overflowPunct/>
        <w:topLinePunct w:val="0"/>
        <w:bidi w:val="0"/>
        <w:spacing w:line="440" w:lineRule="exact"/>
        <w:ind w:firstLine="385" w:firstLineChars="175"/>
        <w:jc w:val="left"/>
        <w:textAlignment w:val="auto"/>
        <w:rPr>
          <w:rFonts w:hint="eastAsia" w:ascii="宋体" w:hAnsi="宋体" w:eastAsia="宋体" w:cs="宋体"/>
          <w:szCs w:val="21"/>
        </w:rPr>
      </w:pPr>
      <w:r>
        <w:rPr>
          <w:rFonts w:hint="eastAsia" w:ascii="宋体" w:hAnsi="宋体" w:eastAsia="宋体" w:cs="宋体"/>
          <w:kern w:val="0"/>
          <w:szCs w:val="21"/>
          <w:lang w:bidi="ar"/>
        </w:rPr>
        <w:t xml:space="preserve">附录 A 相关服务的范围和内容 </w:t>
      </w:r>
    </w:p>
    <w:p w14:paraId="58314B13">
      <w:pPr>
        <w:keepNext w:val="0"/>
        <w:keepLines w:val="0"/>
        <w:widowControl/>
        <w:kinsoku/>
        <w:wordWrap/>
        <w:overflowPunct/>
        <w:topLinePunct w:val="0"/>
        <w:bidi w:val="0"/>
        <w:spacing w:line="440" w:lineRule="exact"/>
        <w:ind w:firstLine="385" w:firstLineChars="175"/>
        <w:jc w:val="left"/>
        <w:textAlignment w:val="auto"/>
        <w:rPr>
          <w:rFonts w:hint="eastAsia" w:ascii="宋体" w:hAnsi="宋体" w:eastAsia="宋体" w:cs="宋体"/>
          <w:szCs w:val="21"/>
        </w:rPr>
      </w:pPr>
      <w:r>
        <w:rPr>
          <w:rFonts w:hint="eastAsia" w:ascii="宋体" w:hAnsi="宋体" w:eastAsia="宋体" w:cs="宋体"/>
          <w:kern w:val="0"/>
          <w:szCs w:val="21"/>
          <w:lang w:bidi="ar"/>
        </w:rPr>
        <w:t xml:space="preserve">附录 B 委托人派遣的人员和提供的房屋、资料、设备 </w:t>
      </w:r>
    </w:p>
    <w:p w14:paraId="750D3A26">
      <w:pPr>
        <w:keepNext w:val="0"/>
        <w:keepLines w:val="0"/>
        <w:widowControl/>
        <w:kinsoku/>
        <w:wordWrap/>
        <w:overflowPunct/>
        <w:topLinePunct w:val="0"/>
        <w:bidi w:val="0"/>
        <w:spacing w:line="440" w:lineRule="exact"/>
        <w:ind w:firstLine="385" w:firstLineChars="175"/>
        <w:jc w:val="left"/>
        <w:textAlignment w:val="auto"/>
        <w:rPr>
          <w:rFonts w:hint="eastAsia" w:ascii="宋体" w:hAnsi="宋体" w:eastAsia="宋体" w:cs="宋体"/>
          <w:szCs w:val="21"/>
        </w:rPr>
      </w:pPr>
      <w:r>
        <w:rPr>
          <w:rFonts w:hint="eastAsia" w:ascii="宋体" w:hAnsi="宋体" w:eastAsia="宋体" w:cs="宋体"/>
          <w:kern w:val="0"/>
          <w:szCs w:val="21"/>
          <w:lang w:bidi="ar"/>
        </w:rPr>
        <w:t xml:space="preserve">本合同签订后，双方依法签订的补充协议也是本合同文件的组成部分。 </w:t>
      </w:r>
    </w:p>
    <w:p w14:paraId="4B9248A4">
      <w:pPr>
        <w:keepNext w:val="0"/>
        <w:keepLines w:val="0"/>
        <w:kinsoku/>
        <w:wordWrap/>
        <w:overflowPunct/>
        <w:topLinePunct w:val="0"/>
        <w:bidi w:val="0"/>
        <w:spacing w:line="440" w:lineRule="exact"/>
        <w:ind w:firstLine="442" w:firstLineChars="200"/>
        <w:textAlignment w:val="auto"/>
        <w:rPr>
          <w:rFonts w:hint="eastAsia" w:ascii="宋体" w:hAnsi="宋体" w:eastAsia="宋体" w:cs="宋体"/>
          <w:b/>
          <w:bCs/>
          <w:szCs w:val="21"/>
        </w:rPr>
      </w:pPr>
      <w:r>
        <w:rPr>
          <w:rFonts w:hint="eastAsia" w:ascii="宋体" w:hAnsi="宋体" w:eastAsia="宋体" w:cs="宋体"/>
          <w:b/>
          <w:bCs/>
          <w:szCs w:val="21"/>
        </w:rPr>
        <w:t xml:space="preserve">四、总监理工程师 </w:t>
      </w:r>
    </w:p>
    <w:p w14:paraId="1204395C">
      <w:pPr>
        <w:keepNext w:val="0"/>
        <w:keepLines w:val="0"/>
        <w:widowControl/>
        <w:kinsoku/>
        <w:wordWrap/>
        <w:overflowPunct/>
        <w:topLinePunct w:val="0"/>
        <w:bidi w:val="0"/>
        <w:spacing w:line="440" w:lineRule="exact"/>
        <w:ind w:firstLine="440" w:firstLineChars="200"/>
        <w:jc w:val="left"/>
        <w:textAlignment w:val="auto"/>
        <w:rPr>
          <w:rFonts w:hint="eastAsia" w:ascii="宋体" w:hAnsi="宋体" w:eastAsia="宋体" w:cs="宋体"/>
          <w:szCs w:val="21"/>
        </w:rPr>
      </w:pPr>
      <w:r>
        <w:rPr>
          <w:rFonts w:hint="eastAsia" w:ascii="宋体" w:hAnsi="宋体" w:eastAsia="宋体" w:cs="宋体"/>
          <w:kern w:val="0"/>
          <w:szCs w:val="21"/>
          <w:lang w:bidi="ar"/>
        </w:rPr>
        <w:t>总监理工程师姓名：</w:t>
      </w:r>
      <w:r>
        <w:rPr>
          <w:rFonts w:hint="eastAsia" w:ascii="宋体" w:hAnsi="宋体" w:eastAsia="宋体" w:cs="宋体"/>
          <w:b/>
          <w:bCs/>
          <w:kern w:val="0"/>
          <w:szCs w:val="21"/>
          <w:u w:val="single"/>
          <w:lang w:bidi="ar"/>
        </w:rPr>
        <w:t xml:space="preserve">     </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，身份证号码：</w:t>
      </w:r>
      <w:r>
        <w:rPr>
          <w:rFonts w:hint="eastAsia" w:ascii="宋体" w:hAnsi="宋体" w:eastAsia="宋体" w:cs="宋体"/>
          <w:kern w:val="0"/>
          <w:szCs w:val="21"/>
          <w:u w:val="single"/>
          <w:lang w:bidi="ar"/>
        </w:rPr>
        <w:t xml:space="preserve"> </w:t>
      </w:r>
      <w:r>
        <w:rPr>
          <w:rFonts w:hint="eastAsia" w:ascii="宋体" w:hAnsi="宋体" w:eastAsia="宋体" w:cs="宋体"/>
          <w:b/>
          <w:bCs/>
          <w:kern w:val="0"/>
          <w:szCs w:val="21"/>
          <w:u w:val="single"/>
          <w:lang w:bidi="ar"/>
        </w:rPr>
        <w:t xml:space="preserve">          </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，注册号：</w:t>
      </w:r>
      <w:r>
        <w:rPr>
          <w:rFonts w:hint="eastAsia" w:ascii="宋体" w:hAnsi="宋体" w:eastAsia="宋体" w:cs="宋体"/>
          <w:kern w:val="0"/>
          <w:szCs w:val="21"/>
          <w:u w:val="single"/>
          <w:lang w:bidi="ar"/>
        </w:rPr>
        <w:t xml:space="preserve"> </w:t>
      </w:r>
      <w:r>
        <w:rPr>
          <w:rFonts w:hint="eastAsia" w:ascii="宋体" w:hAnsi="宋体" w:eastAsia="宋体" w:cs="宋体"/>
          <w:b/>
          <w:bCs/>
          <w:kern w:val="0"/>
          <w:szCs w:val="21"/>
          <w:u w:val="single"/>
          <w:lang w:bidi="ar"/>
        </w:rPr>
        <w:t xml:space="preserve">               </w:t>
      </w:r>
      <w:r>
        <w:rPr>
          <w:rFonts w:hint="eastAsia" w:ascii="宋体" w:hAnsi="宋体" w:eastAsia="宋体" w:cs="宋体"/>
          <w:kern w:val="0"/>
          <w:szCs w:val="21"/>
          <w:lang w:bidi="ar"/>
        </w:rPr>
        <w:t xml:space="preserve">。 </w:t>
      </w:r>
    </w:p>
    <w:p w14:paraId="197956B9">
      <w:pPr>
        <w:keepNext w:val="0"/>
        <w:keepLines w:val="0"/>
        <w:kinsoku/>
        <w:wordWrap/>
        <w:overflowPunct/>
        <w:topLinePunct w:val="0"/>
        <w:bidi w:val="0"/>
        <w:spacing w:line="440" w:lineRule="exact"/>
        <w:ind w:firstLine="442" w:firstLineChars="200"/>
        <w:textAlignment w:val="auto"/>
        <w:rPr>
          <w:rFonts w:hint="eastAsia" w:ascii="宋体" w:hAnsi="宋体" w:eastAsia="宋体" w:cs="宋体"/>
          <w:b/>
          <w:bCs/>
          <w:szCs w:val="21"/>
        </w:rPr>
      </w:pPr>
      <w:r>
        <w:rPr>
          <w:rFonts w:hint="eastAsia" w:ascii="宋体" w:hAnsi="宋体" w:eastAsia="宋体" w:cs="宋体"/>
          <w:b/>
          <w:bCs/>
          <w:szCs w:val="21"/>
        </w:rPr>
        <w:t xml:space="preserve">五、签约酬金 </w:t>
      </w:r>
    </w:p>
    <w:p w14:paraId="039F2F7B">
      <w:pPr>
        <w:keepNext w:val="0"/>
        <w:keepLines w:val="0"/>
        <w:widowControl/>
        <w:kinsoku/>
        <w:wordWrap/>
        <w:overflowPunct/>
        <w:topLinePunct w:val="0"/>
        <w:bidi w:val="0"/>
        <w:spacing w:line="440" w:lineRule="exact"/>
        <w:ind w:firstLine="440" w:firstLineChars="200"/>
        <w:jc w:val="left"/>
        <w:textAlignment w:val="auto"/>
        <w:rPr>
          <w:rFonts w:hint="eastAsia" w:ascii="宋体" w:hAnsi="宋体" w:eastAsia="宋体" w:cs="宋体"/>
          <w:szCs w:val="21"/>
        </w:rPr>
      </w:pPr>
      <w:r>
        <w:rPr>
          <w:rFonts w:hint="eastAsia" w:ascii="宋体" w:hAnsi="宋体" w:eastAsia="宋体" w:cs="宋体"/>
          <w:kern w:val="0"/>
          <w:szCs w:val="21"/>
          <w:lang w:bidi="ar"/>
        </w:rPr>
        <w:t>签约酬金（大写）：</w:t>
      </w:r>
      <w:r>
        <w:rPr>
          <w:rFonts w:hint="eastAsia" w:ascii="宋体" w:hAnsi="宋体" w:eastAsia="宋体" w:cs="宋体"/>
          <w:b/>
          <w:bCs/>
          <w:kern w:val="0"/>
          <w:szCs w:val="21"/>
          <w:u w:val="single"/>
          <w:lang w:bidi="ar"/>
        </w:rPr>
        <w:t xml:space="preserve">              </w:t>
      </w:r>
      <w:r>
        <w:rPr>
          <w:rFonts w:hint="eastAsia" w:ascii="宋体" w:hAnsi="宋体" w:eastAsia="宋体" w:cs="宋体"/>
          <w:kern w:val="0"/>
          <w:szCs w:val="21"/>
          <w:lang w:bidi="ar"/>
        </w:rPr>
        <w:t>（¥</w:t>
      </w:r>
      <w:r>
        <w:rPr>
          <w:rFonts w:hint="eastAsia" w:ascii="宋体" w:hAnsi="宋体" w:eastAsia="宋体" w:cs="宋体"/>
          <w:kern w:val="0"/>
          <w:szCs w:val="21"/>
          <w:u w:val="single"/>
          <w:lang w:bidi="ar"/>
        </w:rPr>
        <w:t xml:space="preserve"> </w:t>
      </w:r>
      <w:r>
        <w:rPr>
          <w:rFonts w:hint="eastAsia" w:ascii="宋体" w:hAnsi="宋体" w:eastAsia="宋体" w:cs="宋体"/>
          <w:b/>
          <w:bCs/>
          <w:kern w:val="0"/>
          <w:szCs w:val="21"/>
          <w:u w:val="single"/>
          <w:lang w:bidi="ar"/>
        </w:rPr>
        <w:t xml:space="preserve">        </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w:t>
      </w:r>
    </w:p>
    <w:bookmarkEnd w:id="68"/>
    <w:bookmarkEnd w:id="69"/>
    <w:p w14:paraId="6F3E23FF">
      <w:pPr>
        <w:keepNext w:val="0"/>
        <w:keepLines w:val="0"/>
        <w:kinsoku/>
        <w:wordWrap/>
        <w:overflowPunct/>
        <w:topLinePunct w:val="0"/>
        <w:bidi w:val="0"/>
        <w:spacing w:line="440" w:lineRule="exact"/>
        <w:ind w:firstLine="442" w:firstLineChars="200"/>
        <w:textAlignment w:val="auto"/>
        <w:rPr>
          <w:rFonts w:hint="eastAsia" w:ascii="宋体" w:hAnsi="宋体" w:eastAsia="宋体" w:cs="宋体"/>
          <w:b/>
          <w:bCs/>
          <w:szCs w:val="21"/>
        </w:rPr>
      </w:pPr>
      <w:r>
        <w:rPr>
          <w:rFonts w:hint="eastAsia" w:ascii="宋体" w:hAnsi="宋体" w:eastAsia="宋体" w:cs="宋体"/>
          <w:b/>
          <w:bCs/>
          <w:szCs w:val="21"/>
        </w:rPr>
        <w:t>六、期限</w:t>
      </w:r>
    </w:p>
    <w:p w14:paraId="164E89C2">
      <w:pPr>
        <w:keepNext w:val="0"/>
        <w:keepLines w:val="0"/>
        <w:kinsoku/>
        <w:wordWrap/>
        <w:overflowPunct/>
        <w:topLinePunct w:val="0"/>
        <w:bidi w:val="0"/>
        <w:adjustRightInd w:val="0"/>
        <w:snapToGrid w:val="0"/>
        <w:spacing w:line="440" w:lineRule="exact"/>
        <w:ind w:firstLine="435" w:firstLineChars="198"/>
        <w:textAlignment w:val="auto"/>
        <w:rPr>
          <w:rFonts w:hint="eastAsia" w:ascii="宋体" w:hAnsi="宋体" w:eastAsia="宋体" w:cs="宋体"/>
          <w:szCs w:val="21"/>
        </w:rPr>
      </w:pPr>
      <w:r>
        <w:rPr>
          <w:rFonts w:hint="eastAsia" w:ascii="宋体" w:hAnsi="宋体" w:eastAsia="宋体" w:cs="宋体"/>
          <w:szCs w:val="21"/>
        </w:rPr>
        <w:t>1. 监理期限：</w:t>
      </w:r>
    </w:p>
    <w:p w14:paraId="5B852BE7">
      <w:pPr>
        <w:keepNext w:val="0"/>
        <w:keepLines w:val="0"/>
        <w:kinsoku/>
        <w:wordWrap/>
        <w:overflowPunct/>
        <w:topLinePunct w:val="0"/>
        <w:bidi w:val="0"/>
        <w:adjustRightInd w:val="0"/>
        <w:snapToGrid w:val="0"/>
        <w:spacing w:line="440" w:lineRule="exact"/>
        <w:ind w:left="251" w:leftChars="114" w:firstLine="433" w:firstLineChars="197"/>
        <w:textAlignment w:val="auto"/>
        <w:rPr>
          <w:rFonts w:hint="eastAsia" w:ascii="宋体" w:hAnsi="宋体" w:eastAsia="宋体" w:cs="宋体"/>
          <w:szCs w:val="21"/>
          <w:u w:val="single"/>
        </w:rPr>
      </w:pPr>
      <w:r>
        <w:rPr>
          <w:rFonts w:hint="eastAsia" w:ascii="宋体" w:hAnsi="宋体" w:eastAsia="宋体" w:cs="宋体"/>
          <w:szCs w:val="21"/>
        </w:rPr>
        <w:t>自</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日始，至</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日止。</w:t>
      </w:r>
    </w:p>
    <w:p w14:paraId="1E64C4AC">
      <w:pPr>
        <w:keepNext w:val="0"/>
        <w:keepLines w:val="0"/>
        <w:kinsoku/>
        <w:wordWrap/>
        <w:overflowPunct/>
        <w:topLinePunct w:val="0"/>
        <w:bidi w:val="0"/>
        <w:adjustRightInd w:val="0"/>
        <w:snapToGrid w:val="0"/>
        <w:spacing w:line="440" w:lineRule="exact"/>
        <w:ind w:firstLine="435" w:firstLineChars="198"/>
        <w:textAlignment w:val="auto"/>
        <w:rPr>
          <w:rFonts w:hint="eastAsia" w:ascii="宋体" w:hAnsi="宋体" w:eastAsia="宋体" w:cs="宋体"/>
          <w:szCs w:val="21"/>
        </w:rPr>
      </w:pPr>
      <w:r>
        <w:rPr>
          <w:rFonts w:hint="eastAsia" w:ascii="宋体" w:hAnsi="宋体" w:eastAsia="宋体" w:cs="宋体"/>
          <w:szCs w:val="21"/>
        </w:rPr>
        <w:t>2. 相关服务期限：</w:t>
      </w:r>
    </w:p>
    <w:p w14:paraId="0BF0AE34">
      <w:pPr>
        <w:keepNext w:val="0"/>
        <w:keepLines w:val="0"/>
        <w:kinsoku/>
        <w:wordWrap/>
        <w:overflowPunct/>
        <w:topLinePunct w:val="0"/>
        <w:bidi w:val="0"/>
        <w:adjustRightInd w:val="0"/>
        <w:snapToGrid w:val="0"/>
        <w:spacing w:line="440" w:lineRule="exact"/>
        <w:ind w:firstLine="550" w:firstLineChars="250"/>
        <w:textAlignment w:val="auto"/>
        <w:rPr>
          <w:rFonts w:hint="eastAsia" w:ascii="宋体" w:hAnsi="宋体" w:eastAsia="宋体" w:cs="宋体"/>
          <w:szCs w:val="21"/>
        </w:rPr>
      </w:pPr>
      <w:r>
        <w:rPr>
          <w:rFonts w:hint="eastAsia" w:ascii="宋体" w:hAnsi="宋体" w:eastAsia="宋体" w:cs="宋体"/>
          <w:kern w:val="0"/>
          <w:szCs w:val="21"/>
        </w:rPr>
        <w:t>（1）勘察阶段</w:t>
      </w:r>
      <w:r>
        <w:rPr>
          <w:rFonts w:hint="eastAsia" w:ascii="宋体" w:hAnsi="宋体" w:eastAsia="宋体" w:cs="宋体"/>
          <w:szCs w:val="21"/>
        </w:rPr>
        <w:t>服务期限自</w:t>
      </w:r>
      <w:r>
        <w:rPr>
          <w:rFonts w:hint="eastAsia" w:ascii="宋体" w:hAnsi="宋体" w:eastAsia="宋体" w:cs="宋体"/>
          <w:szCs w:val="21"/>
          <w:u w:val="single"/>
        </w:rPr>
        <w:t xml:space="preserve"> / </w:t>
      </w:r>
      <w:r>
        <w:rPr>
          <w:rFonts w:hint="eastAsia" w:ascii="宋体" w:hAnsi="宋体" w:eastAsia="宋体" w:cs="宋体"/>
          <w:szCs w:val="21"/>
        </w:rPr>
        <w:t>年</w:t>
      </w:r>
      <w:r>
        <w:rPr>
          <w:rFonts w:hint="eastAsia" w:ascii="宋体" w:hAnsi="宋体" w:eastAsia="宋体" w:cs="宋体"/>
          <w:szCs w:val="21"/>
          <w:u w:val="single"/>
        </w:rPr>
        <w:t xml:space="preserve"> / </w:t>
      </w:r>
      <w:r>
        <w:rPr>
          <w:rFonts w:hint="eastAsia" w:ascii="宋体" w:hAnsi="宋体" w:eastAsia="宋体" w:cs="宋体"/>
          <w:szCs w:val="21"/>
        </w:rPr>
        <w:t>月</w:t>
      </w:r>
      <w:r>
        <w:rPr>
          <w:rFonts w:hint="eastAsia" w:ascii="宋体" w:hAnsi="宋体" w:eastAsia="宋体" w:cs="宋体"/>
          <w:szCs w:val="21"/>
          <w:u w:val="single"/>
        </w:rPr>
        <w:t xml:space="preserve"> / </w:t>
      </w:r>
      <w:r>
        <w:rPr>
          <w:rFonts w:hint="eastAsia" w:ascii="宋体" w:hAnsi="宋体" w:eastAsia="宋体" w:cs="宋体"/>
          <w:szCs w:val="21"/>
        </w:rPr>
        <w:t xml:space="preserve">日始，至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日止。</w:t>
      </w:r>
    </w:p>
    <w:p w14:paraId="4F572D28">
      <w:pPr>
        <w:keepNext w:val="0"/>
        <w:keepLines w:val="0"/>
        <w:kinsoku/>
        <w:wordWrap/>
        <w:overflowPunct/>
        <w:topLinePunct w:val="0"/>
        <w:bidi w:val="0"/>
        <w:adjustRightInd w:val="0"/>
        <w:snapToGrid w:val="0"/>
        <w:spacing w:line="440" w:lineRule="exact"/>
        <w:ind w:firstLine="550" w:firstLineChars="250"/>
        <w:textAlignment w:val="auto"/>
        <w:rPr>
          <w:rFonts w:hint="eastAsia" w:ascii="宋体" w:hAnsi="宋体" w:eastAsia="宋体" w:cs="宋体"/>
          <w:szCs w:val="21"/>
        </w:rPr>
      </w:pPr>
      <w:r>
        <w:rPr>
          <w:rFonts w:hint="eastAsia" w:ascii="宋体" w:hAnsi="宋体" w:eastAsia="宋体" w:cs="宋体"/>
          <w:kern w:val="0"/>
          <w:szCs w:val="21"/>
        </w:rPr>
        <w:t>（2）设计阶段</w:t>
      </w:r>
      <w:r>
        <w:rPr>
          <w:rFonts w:hint="eastAsia" w:ascii="宋体" w:hAnsi="宋体" w:eastAsia="宋体" w:cs="宋体"/>
          <w:szCs w:val="21"/>
        </w:rPr>
        <w:t>服务期限自</w:t>
      </w:r>
      <w:r>
        <w:rPr>
          <w:rFonts w:hint="eastAsia" w:ascii="宋体" w:hAnsi="宋体" w:eastAsia="宋体" w:cs="宋体"/>
          <w:szCs w:val="21"/>
          <w:u w:val="single"/>
        </w:rPr>
        <w:t xml:space="preserve"> / </w:t>
      </w:r>
      <w:r>
        <w:rPr>
          <w:rFonts w:hint="eastAsia" w:ascii="宋体" w:hAnsi="宋体" w:eastAsia="宋体" w:cs="宋体"/>
          <w:szCs w:val="21"/>
        </w:rPr>
        <w:t>年</w:t>
      </w:r>
      <w:r>
        <w:rPr>
          <w:rFonts w:hint="eastAsia" w:ascii="宋体" w:hAnsi="宋体" w:eastAsia="宋体" w:cs="宋体"/>
          <w:szCs w:val="21"/>
          <w:u w:val="single"/>
        </w:rPr>
        <w:t xml:space="preserve"> / </w:t>
      </w:r>
      <w:r>
        <w:rPr>
          <w:rFonts w:hint="eastAsia" w:ascii="宋体" w:hAnsi="宋体" w:eastAsia="宋体" w:cs="宋体"/>
          <w:szCs w:val="21"/>
        </w:rPr>
        <w:t>月</w:t>
      </w:r>
      <w:r>
        <w:rPr>
          <w:rFonts w:hint="eastAsia" w:ascii="宋体" w:hAnsi="宋体" w:eastAsia="宋体" w:cs="宋体"/>
          <w:szCs w:val="21"/>
          <w:u w:val="single"/>
        </w:rPr>
        <w:t xml:space="preserve"> / </w:t>
      </w:r>
      <w:r>
        <w:rPr>
          <w:rFonts w:hint="eastAsia" w:ascii="宋体" w:hAnsi="宋体" w:eastAsia="宋体" w:cs="宋体"/>
          <w:szCs w:val="21"/>
        </w:rPr>
        <w:t xml:space="preserve">日始，至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日止。</w:t>
      </w:r>
    </w:p>
    <w:p w14:paraId="148B9EE7">
      <w:pPr>
        <w:keepNext w:val="0"/>
        <w:keepLines w:val="0"/>
        <w:kinsoku/>
        <w:wordWrap/>
        <w:overflowPunct/>
        <w:topLinePunct w:val="0"/>
        <w:bidi w:val="0"/>
        <w:adjustRightInd w:val="0"/>
        <w:snapToGrid w:val="0"/>
        <w:spacing w:line="440" w:lineRule="exact"/>
        <w:ind w:left="251" w:leftChars="114" w:firstLine="330" w:firstLineChars="150"/>
        <w:textAlignment w:val="auto"/>
        <w:rPr>
          <w:rFonts w:hint="eastAsia" w:ascii="宋体" w:hAnsi="宋体" w:eastAsia="宋体" w:cs="宋体"/>
          <w:szCs w:val="21"/>
        </w:rPr>
      </w:pPr>
      <w:r>
        <w:rPr>
          <w:rFonts w:hint="eastAsia" w:ascii="宋体" w:hAnsi="宋体" w:eastAsia="宋体" w:cs="宋体"/>
          <w:kern w:val="0"/>
          <w:szCs w:val="21"/>
        </w:rPr>
        <w:t>（3）缺陷责任</w:t>
      </w:r>
      <w:r>
        <w:rPr>
          <w:rFonts w:hint="eastAsia" w:ascii="宋体" w:hAnsi="宋体" w:eastAsia="宋体" w:cs="宋体"/>
          <w:szCs w:val="21"/>
        </w:rPr>
        <w:t>服务期限自</w:t>
      </w:r>
      <w:r>
        <w:rPr>
          <w:rFonts w:hint="eastAsia" w:ascii="宋体" w:hAnsi="宋体" w:eastAsia="宋体" w:cs="宋体"/>
          <w:szCs w:val="21"/>
          <w:u w:val="single"/>
        </w:rPr>
        <w:t xml:space="preserve"> / </w:t>
      </w:r>
      <w:r>
        <w:rPr>
          <w:rFonts w:hint="eastAsia" w:ascii="宋体" w:hAnsi="宋体" w:eastAsia="宋体" w:cs="宋体"/>
          <w:szCs w:val="21"/>
        </w:rPr>
        <w:t>年</w:t>
      </w:r>
      <w:r>
        <w:rPr>
          <w:rFonts w:hint="eastAsia" w:ascii="宋体" w:hAnsi="宋体" w:eastAsia="宋体" w:cs="宋体"/>
          <w:szCs w:val="21"/>
          <w:u w:val="single"/>
        </w:rPr>
        <w:t xml:space="preserve"> / </w:t>
      </w:r>
      <w:r>
        <w:rPr>
          <w:rFonts w:hint="eastAsia" w:ascii="宋体" w:hAnsi="宋体" w:eastAsia="宋体" w:cs="宋体"/>
          <w:szCs w:val="21"/>
        </w:rPr>
        <w:t>月</w:t>
      </w:r>
      <w:r>
        <w:rPr>
          <w:rFonts w:hint="eastAsia" w:ascii="宋体" w:hAnsi="宋体" w:eastAsia="宋体" w:cs="宋体"/>
          <w:szCs w:val="21"/>
          <w:u w:val="single"/>
        </w:rPr>
        <w:t xml:space="preserve"> / </w:t>
      </w:r>
      <w:r>
        <w:rPr>
          <w:rFonts w:hint="eastAsia" w:ascii="宋体" w:hAnsi="宋体" w:eastAsia="宋体" w:cs="宋体"/>
          <w:szCs w:val="21"/>
        </w:rPr>
        <w:t xml:space="preserve">日始，至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日止。</w:t>
      </w:r>
    </w:p>
    <w:p w14:paraId="048C2B5B">
      <w:pPr>
        <w:keepNext w:val="0"/>
        <w:keepLines w:val="0"/>
        <w:kinsoku/>
        <w:wordWrap/>
        <w:overflowPunct/>
        <w:topLinePunct w:val="0"/>
        <w:bidi w:val="0"/>
        <w:adjustRightInd w:val="0"/>
        <w:snapToGrid w:val="0"/>
        <w:spacing w:line="440" w:lineRule="exact"/>
        <w:ind w:left="251" w:leftChars="114" w:firstLine="330" w:firstLineChars="150"/>
        <w:textAlignment w:val="auto"/>
        <w:rPr>
          <w:rFonts w:hint="eastAsia" w:ascii="宋体" w:hAnsi="宋体" w:eastAsia="宋体" w:cs="宋体"/>
          <w:szCs w:val="21"/>
        </w:rPr>
      </w:pPr>
      <w:r>
        <w:rPr>
          <w:rFonts w:hint="eastAsia" w:ascii="宋体" w:hAnsi="宋体" w:eastAsia="宋体" w:cs="宋体"/>
          <w:kern w:val="0"/>
          <w:szCs w:val="21"/>
        </w:rPr>
        <w:t>（4）</w:t>
      </w:r>
      <w:r>
        <w:rPr>
          <w:rFonts w:hint="eastAsia" w:ascii="宋体" w:hAnsi="宋体" w:eastAsia="宋体" w:cs="宋体"/>
          <w:szCs w:val="21"/>
        </w:rPr>
        <w:t>其他相关服务期限自</w:t>
      </w:r>
      <w:r>
        <w:rPr>
          <w:rFonts w:hint="eastAsia" w:ascii="宋体" w:hAnsi="宋体" w:eastAsia="宋体" w:cs="宋体"/>
          <w:szCs w:val="21"/>
          <w:u w:val="single"/>
        </w:rPr>
        <w:t xml:space="preserve"> / </w:t>
      </w:r>
      <w:r>
        <w:rPr>
          <w:rFonts w:hint="eastAsia" w:ascii="宋体" w:hAnsi="宋体" w:eastAsia="宋体" w:cs="宋体"/>
          <w:szCs w:val="21"/>
        </w:rPr>
        <w:t>年</w:t>
      </w:r>
      <w:r>
        <w:rPr>
          <w:rFonts w:hint="eastAsia" w:ascii="宋体" w:hAnsi="宋体" w:eastAsia="宋体" w:cs="宋体"/>
          <w:szCs w:val="21"/>
          <w:u w:val="single"/>
        </w:rPr>
        <w:t xml:space="preserve"> / </w:t>
      </w:r>
      <w:r>
        <w:rPr>
          <w:rFonts w:hint="eastAsia" w:ascii="宋体" w:hAnsi="宋体" w:eastAsia="宋体" w:cs="宋体"/>
          <w:szCs w:val="21"/>
        </w:rPr>
        <w:t>月</w:t>
      </w:r>
      <w:r>
        <w:rPr>
          <w:rFonts w:hint="eastAsia" w:ascii="宋体" w:hAnsi="宋体" w:eastAsia="宋体" w:cs="宋体"/>
          <w:szCs w:val="21"/>
          <w:u w:val="single"/>
        </w:rPr>
        <w:t xml:space="preserve"> / </w:t>
      </w:r>
      <w:r>
        <w:rPr>
          <w:rFonts w:hint="eastAsia" w:ascii="宋体" w:hAnsi="宋体" w:eastAsia="宋体" w:cs="宋体"/>
          <w:szCs w:val="21"/>
        </w:rPr>
        <w:t xml:space="preserve">日始，至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日止。</w:t>
      </w:r>
    </w:p>
    <w:p w14:paraId="15DABC06">
      <w:pPr>
        <w:keepNext w:val="0"/>
        <w:keepLines w:val="0"/>
        <w:kinsoku/>
        <w:wordWrap/>
        <w:overflowPunct/>
        <w:topLinePunct w:val="0"/>
        <w:bidi w:val="0"/>
        <w:spacing w:line="440" w:lineRule="exact"/>
        <w:ind w:firstLine="442" w:firstLineChars="200"/>
        <w:textAlignment w:val="auto"/>
        <w:rPr>
          <w:rFonts w:hint="eastAsia" w:ascii="宋体" w:hAnsi="宋体" w:eastAsia="宋体" w:cs="宋体"/>
          <w:b/>
          <w:bCs/>
          <w:szCs w:val="21"/>
        </w:rPr>
      </w:pPr>
      <w:r>
        <w:rPr>
          <w:rFonts w:hint="eastAsia" w:ascii="宋体" w:hAnsi="宋体" w:eastAsia="宋体" w:cs="宋体"/>
          <w:b/>
          <w:bCs/>
          <w:szCs w:val="21"/>
        </w:rPr>
        <w:t>七、双方承诺</w:t>
      </w:r>
    </w:p>
    <w:p w14:paraId="1E777E61">
      <w:pPr>
        <w:keepNext w:val="0"/>
        <w:keepLines w:val="0"/>
        <w:kinsoku/>
        <w:wordWrap/>
        <w:overflowPunct/>
        <w:topLinePunct w:val="0"/>
        <w:bidi w:val="0"/>
        <w:spacing w:line="440" w:lineRule="exact"/>
        <w:ind w:firstLine="440" w:firstLineChars="200"/>
        <w:textAlignment w:val="auto"/>
        <w:rPr>
          <w:rFonts w:hint="eastAsia" w:ascii="宋体" w:hAnsi="宋体" w:eastAsia="宋体" w:cs="宋体"/>
          <w:szCs w:val="21"/>
        </w:rPr>
      </w:pPr>
      <w:r>
        <w:rPr>
          <w:rFonts w:hint="eastAsia" w:ascii="宋体" w:hAnsi="宋体" w:eastAsia="宋体" w:cs="宋体"/>
          <w:szCs w:val="21"/>
        </w:rPr>
        <w:t>1. 监理人向委托人承诺，按照本合同约定提供监理与相关服务。</w:t>
      </w:r>
    </w:p>
    <w:p w14:paraId="55772348">
      <w:pPr>
        <w:keepNext w:val="0"/>
        <w:keepLines w:val="0"/>
        <w:kinsoku/>
        <w:wordWrap/>
        <w:overflowPunct/>
        <w:topLinePunct w:val="0"/>
        <w:bidi w:val="0"/>
        <w:spacing w:line="440" w:lineRule="exact"/>
        <w:ind w:firstLine="440" w:firstLineChars="200"/>
        <w:textAlignment w:val="auto"/>
        <w:rPr>
          <w:rFonts w:hint="eastAsia" w:ascii="宋体" w:hAnsi="宋体" w:eastAsia="宋体" w:cs="宋体"/>
          <w:szCs w:val="21"/>
        </w:rPr>
      </w:pPr>
      <w:r>
        <w:rPr>
          <w:rFonts w:hint="eastAsia" w:ascii="宋体" w:hAnsi="宋体" w:eastAsia="宋体" w:cs="宋体"/>
          <w:szCs w:val="21"/>
        </w:rPr>
        <w:t>2. 委托人向监理人承诺，按照本合同约定派遣相应的人员，提供房屋、资料、设备，并按本合同约定支付酬金。</w:t>
      </w:r>
    </w:p>
    <w:p w14:paraId="2FC404CA">
      <w:pPr>
        <w:keepNext w:val="0"/>
        <w:keepLines w:val="0"/>
        <w:kinsoku/>
        <w:wordWrap/>
        <w:overflowPunct/>
        <w:topLinePunct w:val="0"/>
        <w:bidi w:val="0"/>
        <w:spacing w:line="440" w:lineRule="exact"/>
        <w:ind w:firstLine="442" w:firstLineChars="200"/>
        <w:textAlignment w:val="auto"/>
        <w:rPr>
          <w:rFonts w:hint="eastAsia" w:ascii="宋体" w:hAnsi="宋体" w:eastAsia="宋体" w:cs="宋体"/>
          <w:b/>
          <w:bCs/>
          <w:szCs w:val="21"/>
        </w:rPr>
      </w:pPr>
      <w:r>
        <w:rPr>
          <w:rFonts w:hint="eastAsia" w:ascii="宋体" w:hAnsi="宋体" w:eastAsia="宋体" w:cs="宋体"/>
          <w:b/>
          <w:bCs/>
          <w:szCs w:val="21"/>
        </w:rPr>
        <w:t>八、合同订立</w:t>
      </w:r>
    </w:p>
    <w:p w14:paraId="4436B82E">
      <w:pPr>
        <w:keepNext w:val="0"/>
        <w:keepLines w:val="0"/>
        <w:kinsoku/>
        <w:wordWrap/>
        <w:overflowPunct/>
        <w:topLinePunct w:val="0"/>
        <w:bidi w:val="0"/>
        <w:spacing w:line="440" w:lineRule="exact"/>
        <w:ind w:firstLine="440" w:firstLineChars="200"/>
        <w:textAlignment w:val="auto"/>
        <w:rPr>
          <w:rFonts w:hint="eastAsia" w:ascii="宋体" w:hAnsi="宋体" w:eastAsia="宋体" w:cs="宋体"/>
          <w:szCs w:val="21"/>
        </w:rPr>
      </w:pPr>
      <w:r>
        <w:rPr>
          <w:rFonts w:hint="eastAsia" w:ascii="宋体" w:hAnsi="宋体" w:eastAsia="宋体" w:cs="宋体"/>
          <w:szCs w:val="21"/>
        </w:rPr>
        <w:t>1. 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9E47B88">
      <w:pPr>
        <w:keepNext w:val="0"/>
        <w:keepLines w:val="0"/>
        <w:kinsoku/>
        <w:wordWrap/>
        <w:overflowPunct/>
        <w:topLinePunct w:val="0"/>
        <w:bidi w:val="0"/>
        <w:spacing w:line="440" w:lineRule="exact"/>
        <w:ind w:firstLine="440" w:firstLineChars="200"/>
        <w:textAlignment w:val="auto"/>
        <w:rPr>
          <w:rFonts w:hint="eastAsia" w:ascii="宋体" w:hAnsi="宋体" w:eastAsia="宋体" w:cs="宋体"/>
          <w:szCs w:val="21"/>
        </w:rPr>
      </w:pPr>
      <w:r>
        <w:rPr>
          <w:rFonts w:hint="eastAsia" w:ascii="宋体" w:hAnsi="宋体" w:eastAsia="宋体" w:cs="宋体"/>
          <w:szCs w:val="21"/>
        </w:rPr>
        <w:t>2. 订立地点：</w:t>
      </w:r>
      <w:r>
        <w:rPr>
          <w:rFonts w:hint="eastAsia" w:ascii="宋体" w:hAnsi="宋体" w:eastAsia="宋体" w:cs="宋体"/>
          <w:szCs w:val="21"/>
          <w:u w:val="single"/>
        </w:rPr>
        <w:t xml:space="preserve">                            </w:t>
      </w:r>
      <w:r>
        <w:rPr>
          <w:rFonts w:hint="eastAsia" w:ascii="宋体" w:hAnsi="宋体" w:eastAsia="宋体" w:cs="宋体"/>
          <w:szCs w:val="21"/>
        </w:rPr>
        <w:t>。</w:t>
      </w:r>
    </w:p>
    <w:p w14:paraId="7911B6D8">
      <w:pPr>
        <w:keepNext w:val="0"/>
        <w:keepLines w:val="0"/>
        <w:kinsoku/>
        <w:wordWrap/>
        <w:overflowPunct/>
        <w:topLinePunct w:val="0"/>
        <w:bidi w:val="0"/>
        <w:spacing w:line="440" w:lineRule="exact"/>
        <w:ind w:firstLine="440" w:firstLineChars="200"/>
        <w:textAlignment w:val="auto"/>
        <w:rPr>
          <w:rFonts w:hint="eastAsia" w:ascii="宋体" w:hAnsi="宋体" w:eastAsia="宋体" w:cs="宋体"/>
          <w:szCs w:val="21"/>
        </w:rPr>
      </w:pPr>
      <w:r>
        <w:rPr>
          <w:rFonts w:hint="eastAsia" w:ascii="宋体" w:hAnsi="宋体" w:eastAsia="宋体" w:cs="宋体"/>
          <w:szCs w:val="21"/>
        </w:rPr>
        <w:t>3. 本合同一式</w:t>
      </w:r>
      <w:r>
        <w:rPr>
          <w:rFonts w:hint="eastAsia" w:ascii="宋体" w:hAnsi="宋体" w:eastAsia="宋体" w:cs="宋体"/>
          <w:szCs w:val="21"/>
          <w:u w:val="single"/>
        </w:rPr>
        <w:t xml:space="preserve">  捌  </w:t>
      </w:r>
      <w:r>
        <w:rPr>
          <w:rFonts w:hint="eastAsia" w:ascii="宋体" w:hAnsi="宋体" w:eastAsia="宋体" w:cs="宋体"/>
          <w:szCs w:val="21"/>
        </w:rPr>
        <w:t>份，具有同等法律效力，双方各执</w:t>
      </w:r>
      <w:r>
        <w:rPr>
          <w:rFonts w:hint="eastAsia" w:ascii="宋体" w:hAnsi="宋体" w:eastAsia="宋体" w:cs="宋体"/>
          <w:szCs w:val="21"/>
          <w:u w:val="single"/>
        </w:rPr>
        <w:t xml:space="preserve">   肆  </w:t>
      </w:r>
      <w:r>
        <w:rPr>
          <w:rFonts w:hint="eastAsia" w:ascii="宋体" w:hAnsi="宋体" w:eastAsia="宋体" w:cs="宋体"/>
          <w:szCs w:val="21"/>
        </w:rPr>
        <w:t xml:space="preserve">份。 </w:t>
      </w:r>
    </w:p>
    <w:p w14:paraId="6E35A64B">
      <w:pPr>
        <w:keepNext w:val="0"/>
        <w:keepLines w:val="0"/>
        <w:kinsoku/>
        <w:wordWrap/>
        <w:overflowPunct/>
        <w:topLinePunct w:val="0"/>
        <w:bidi w:val="0"/>
        <w:adjustRightInd w:val="0"/>
        <w:snapToGrid w:val="0"/>
        <w:spacing w:line="440" w:lineRule="exact"/>
        <w:ind w:firstLine="435" w:firstLineChars="198"/>
        <w:jc w:val="left"/>
        <w:textAlignment w:val="auto"/>
        <w:rPr>
          <w:rFonts w:hint="eastAsia" w:ascii="宋体" w:hAnsi="宋体" w:eastAsia="宋体" w:cs="宋体"/>
          <w:szCs w:val="21"/>
        </w:rPr>
      </w:pPr>
      <w:r>
        <w:rPr>
          <w:rFonts w:hint="eastAsia" w:ascii="宋体" w:hAnsi="宋体" w:eastAsia="宋体" w:cs="宋体"/>
          <w:szCs w:val="21"/>
        </w:rPr>
        <w:t>委托人：</w:t>
      </w:r>
      <w:r>
        <w:rPr>
          <w:rFonts w:hint="eastAsia" w:ascii="宋体" w:hAnsi="宋体" w:eastAsia="宋体" w:cs="宋体"/>
          <w:szCs w:val="21"/>
          <w:u w:val="single"/>
        </w:rPr>
        <w:t xml:space="preserve">   （盖章）     </w:t>
      </w:r>
      <w:r>
        <w:rPr>
          <w:rFonts w:hint="eastAsia" w:ascii="宋体" w:hAnsi="宋体" w:eastAsia="宋体" w:cs="宋体"/>
          <w:szCs w:val="21"/>
        </w:rPr>
        <w:t xml:space="preserve">       监理人：</w:t>
      </w:r>
      <w:r>
        <w:rPr>
          <w:rFonts w:hint="eastAsia" w:ascii="宋体" w:hAnsi="宋体" w:eastAsia="宋体" w:cs="宋体"/>
          <w:szCs w:val="21"/>
          <w:u w:val="single"/>
        </w:rPr>
        <w:t xml:space="preserve">   （盖章）    </w:t>
      </w:r>
    </w:p>
    <w:p w14:paraId="496D0B1A">
      <w:pPr>
        <w:keepNext w:val="0"/>
        <w:keepLines w:val="0"/>
        <w:kinsoku/>
        <w:wordWrap/>
        <w:overflowPunct/>
        <w:topLinePunct w:val="0"/>
        <w:bidi w:val="0"/>
        <w:adjustRightInd w:val="0"/>
        <w:snapToGrid w:val="0"/>
        <w:spacing w:line="440" w:lineRule="exact"/>
        <w:ind w:firstLine="435" w:firstLineChars="198"/>
        <w:jc w:val="left"/>
        <w:textAlignment w:val="auto"/>
        <w:rPr>
          <w:rFonts w:hint="eastAsia" w:ascii="宋体" w:hAnsi="宋体" w:eastAsia="宋体" w:cs="宋体"/>
          <w:szCs w:val="21"/>
        </w:rPr>
      </w:pPr>
      <w:r>
        <w:rPr>
          <w:rFonts w:hint="eastAsia" w:ascii="宋体" w:hAnsi="宋体" w:eastAsia="宋体" w:cs="宋体"/>
          <w:szCs w:val="21"/>
        </w:rPr>
        <w:t xml:space="preserve">住所： </w:t>
      </w:r>
      <w:r>
        <w:rPr>
          <w:rFonts w:hint="eastAsia" w:ascii="宋体" w:hAnsi="宋体" w:eastAsia="宋体" w:cs="宋体"/>
          <w:szCs w:val="21"/>
          <w:u w:val="single"/>
        </w:rPr>
        <w:t xml:space="preserve">                     </w:t>
      </w:r>
      <w:r>
        <w:rPr>
          <w:rFonts w:hint="eastAsia" w:ascii="宋体" w:hAnsi="宋体" w:eastAsia="宋体" w:cs="宋体"/>
          <w:szCs w:val="21"/>
        </w:rPr>
        <w:t xml:space="preserve">   住所： </w:t>
      </w:r>
      <w:r>
        <w:rPr>
          <w:rFonts w:hint="eastAsia" w:ascii="宋体" w:hAnsi="宋体" w:eastAsia="宋体" w:cs="宋体"/>
          <w:szCs w:val="21"/>
          <w:u w:val="single"/>
        </w:rPr>
        <w:t xml:space="preserve">                </w:t>
      </w:r>
    </w:p>
    <w:p w14:paraId="7845559C">
      <w:pPr>
        <w:keepNext w:val="0"/>
        <w:keepLines w:val="0"/>
        <w:kinsoku/>
        <w:wordWrap/>
        <w:overflowPunct/>
        <w:topLinePunct w:val="0"/>
        <w:bidi w:val="0"/>
        <w:adjustRightInd w:val="0"/>
        <w:snapToGrid w:val="0"/>
        <w:spacing w:line="440" w:lineRule="exact"/>
        <w:ind w:firstLine="440" w:firstLineChars="200"/>
        <w:jc w:val="left"/>
        <w:textAlignment w:val="auto"/>
        <w:rPr>
          <w:rFonts w:hint="eastAsia"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w:t>
      </w:r>
      <w:r>
        <w:rPr>
          <w:rFonts w:hint="eastAsia" w:ascii="宋体" w:hAnsi="宋体" w:eastAsia="宋体" w:cs="宋体"/>
          <w:szCs w:val="21"/>
        </w:rPr>
        <w:t xml:space="preserve">    邮政编码：</w:t>
      </w:r>
      <w:r>
        <w:rPr>
          <w:rFonts w:hint="eastAsia" w:ascii="宋体" w:hAnsi="宋体" w:eastAsia="宋体" w:cs="宋体"/>
          <w:szCs w:val="21"/>
          <w:u w:val="single"/>
        </w:rPr>
        <w:t xml:space="preserve">             </w:t>
      </w:r>
    </w:p>
    <w:p w14:paraId="7B2C9783">
      <w:pPr>
        <w:keepNext w:val="0"/>
        <w:keepLines w:val="0"/>
        <w:kinsoku/>
        <w:wordWrap/>
        <w:overflowPunct/>
        <w:topLinePunct w:val="0"/>
        <w:bidi w:val="0"/>
        <w:adjustRightInd w:val="0"/>
        <w:snapToGrid w:val="0"/>
        <w:spacing w:line="440" w:lineRule="exact"/>
        <w:ind w:firstLine="435" w:firstLineChars="198"/>
        <w:jc w:val="left"/>
        <w:textAlignment w:val="auto"/>
        <w:rPr>
          <w:rFonts w:hint="eastAsia" w:ascii="宋体" w:hAnsi="宋体" w:eastAsia="宋体" w:cs="宋体"/>
          <w:szCs w:val="21"/>
        </w:rPr>
      </w:pPr>
      <w:r>
        <w:rPr>
          <w:rFonts w:hint="eastAsia" w:ascii="宋体" w:hAnsi="宋体" w:eastAsia="宋体" w:cs="宋体"/>
          <w:szCs w:val="21"/>
        </w:rPr>
        <w:t>法定代表人或其授权             法定代表人或其授权</w:t>
      </w:r>
    </w:p>
    <w:p w14:paraId="6DC6C949">
      <w:pPr>
        <w:keepNext w:val="0"/>
        <w:keepLines w:val="0"/>
        <w:kinsoku/>
        <w:wordWrap/>
        <w:overflowPunct/>
        <w:topLinePunct w:val="0"/>
        <w:bidi w:val="0"/>
        <w:adjustRightInd w:val="0"/>
        <w:snapToGrid w:val="0"/>
        <w:spacing w:line="440" w:lineRule="exact"/>
        <w:ind w:firstLine="435" w:firstLineChars="198"/>
        <w:jc w:val="left"/>
        <w:textAlignment w:val="auto"/>
        <w:rPr>
          <w:rFonts w:hint="eastAsia" w:ascii="宋体" w:hAnsi="宋体" w:eastAsia="宋体" w:cs="宋体"/>
          <w:szCs w:val="21"/>
        </w:rPr>
      </w:pPr>
      <w:r>
        <w:rPr>
          <w:rFonts w:hint="eastAsia" w:ascii="宋体" w:hAnsi="宋体" w:eastAsia="宋体" w:cs="宋体"/>
          <w:szCs w:val="21"/>
        </w:rPr>
        <w:t>的代理人：</w:t>
      </w:r>
      <w:r>
        <w:rPr>
          <w:rFonts w:hint="eastAsia" w:ascii="宋体" w:hAnsi="宋体" w:eastAsia="宋体" w:cs="宋体"/>
          <w:szCs w:val="21"/>
          <w:u w:val="single"/>
        </w:rPr>
        <w:t xml:space="preserve">（签字）      </w:t>
      </w:r>
      <w:r>
        <w:rPr>
          <w:rFonts w:hint="eastAsia" w:ascii="宋体" w:hAnsi="宋体" w:eastAsia="宋体" w:cs="宋体"/>
          <w:szCs w:val="21"/>
        </w:rPr>
        <w:t xml:space="preserve">        的代理人：</w:t>
      </w:r>
      <w:r>
        <w:rPr>
          <w:rFonts w:hint="eastAsia" w:ascii="宋体" w:hAnsi="宋体" w:eastAsia="宋体" w:cs="宋体"/>
          <w:szCs w:val="21"/>
          <w:u w:val="single"/>
        </w:rPr>
        <w:t xml:space="preserve">（签字）              </w:t>
      </w:r>
    </w:p>
    <w:p w14:paraId="2E16BAFA">
      <w:pPr>
        <w:keepNext w:val="0"/>
        <w:keepLines w:val="0"/>
        <w:kinsoku/>
        <w:wordWrap/>
        <w:overflowPunct/>
        <w:topLinePunct w:val="0"/>
        <w:bidi w:val="0"/>
        <w:adjustRightInd w:val="0"/>
        <w:snapToGrid w:val="0"/>
        <w:spacing w:line="440" w:lineRule="exact"/>
        <w:ind w:firstLine="435" w:firstLineChars="198"/>
        <w:jc w:val="left"/>
        <w:textAlignment w:val="auto"/>
        <w:rPr>
          <w:rFonts w:hint="eastAsia" w:ascii="宋体" w:hAnsi="宋体" w:eastAsia="宋体" w:cs="宋体"/>
          <w:szCs w:val="21"/>
          <w:u w:val="single"/>
        </w:rPr>
      </w:pPr>
      <w:r>
        <w:rPr>
          <w:rFonts w:hint="eastAsia" w:ascii="宋体" w:hAnsi="宋体" w:eastAsia="宋体" w:cs="宋体"/>
          <w:szCs w:val="21"/>
        </w:rPr>
        <w:t>开户银行：</w:t>
      </w:r>
      <w:r>
        <w:rPr>
          <w:rFonts w:hint="eastAsia" w:ascii="宋体" w:hAnsi="宋体" w:eastAsia="宋体" w:cs="宋体"/>
          <w:szCs w:val="21"/>
          <w:u w:val="single"/>
        </w:rPr>
        <w:t xml:space="preserve">                 </w:t>
      </w:r>
      <w:r>
        <w:rPr>
          <w:rFonts w:hint="eastAsia" w:ascii="宋体" w:hAnsi="宋体" w:eastAsia="宋体" w:cs="宋体"/>
          <w:szCs w:val="21"/>
        </w:rPr>
        <w:t xml:space="preserve">    开户银行：</w:t>
      </w:r>
      <w:r>
        <w:rPr>
          <w:rFonts w:hint="eastAsia" w:ascii="宋体" w:hAnsi="宋体" w:eastAsia="宋体" w:cs="宋体"/>
          <w:szCs w:val="21"/>
          <w:u w:val="single"/>
        </w:rPr>
        <w:t xml:space="preserve">                     </w:t>
      </w:r>
    </w:p>
    <w:p w14:paraId="2BDE6240">
      <w:pPr>
        <w:keepNext w:val="0"/>
        <w:keepLines w:val="0"/>
        <w:kinsoku/>
        <w:wordWrap/>
        <w:overflowPunct/>
        <w:topLinePunct w:val="0"/>
        <w:bidi w:val="0"/>
        <w:adjustRightInd w:val="0"/>
        <w:snapToGrid w:val="0"/>
        <w:spacing w:line="440" w:lineRule="exact"/>
        <w:ind w:firstLine="435" w:firstLineChars="198"/>
        <w:jc w:val="left"/>
        <w:textAlignment w:val="auto"/>
        <w:rPr>
          <w:rFonts w:hint="eastAsia" w:ascii="宋体" w:hAnsi="宋体" w:eastAsia="宋体" w:cs="宋体"/>
          <w:szCs w:val="21"/>
        </w:rPr>
      </w:pPr>
      <w:r>
        <w:rPr>
          <w:rFonts w:hint="eastAsia" w:ascii="宋体" w:hAnsi="宋体" w:eastAsia="宋体" w:cs="宋体"/>
          <w:szCs w:val="21"/>
        </w:rPr>
        <w:t>账号：</w:t>
      </w:r>
      <w:r>
        <w:rPr>
          <w:rFonts w:hint="eastAsia" w:ascii="宋体" w:hAnsi="宋体" w:eastAsia="宋体" w:cs="宋体"/>
          <w:szCs w:val="21"/>
          <w:u w:val="single"/>
        </w:rPr>
        <w:t xml:space="preserve">                    </w:t>
      </w:r>
      <w:r>
        <w:rPr>
          <w:rFonts w:hint="eastAsia" w:ascii="宋体" w:hAnsi="宋体" w:eastAsia="宋体" w:cs="宋体"/>
          <w:szCs w:val="21"/>
        </w:rPr>
        <w:t xml:space="preserve">   账号：</w:t>
      </w:r>
      <w:r>
        <w:rPr>
          <w:rFonts w:hint="eastAsia" w:ascii="宋体" w:hAnsi="宋体" w:eastAsia="宋体" w:cs="宋体"/>
          <w:szCs w:val="21"/>
          <w:u w:val="single"/>
        </w:rPr>
        <w:t xml:space="preserve">                         </w:t>
      </w:r>
    </w:p>
    <w:p w14:paraId="093F01D8">
      <w:pPr>
        <w:keepNext w:val="0"/>
        <w:keepLines w:val="0"/>
        <w:kinsoku/>
        <w:wordWrap/>
        <w:overflowPunct/>
        <w:topLinePunct w:val="0"/>
        <w:bidi w:val="0"/>
        <w:adjustRightInd w:val="0"/>
        <w:snapToGrid w:val="0"/>
        <w:spacing w:line="440" w:lineRule="exact"/>
        <w:ind w:firstLine="435" w:firstLineChars="198"/>
        <w:jc w:val="left"/>
        <w:textAlignment w:val="auto"/>
        <w:rPr>
          <w:rFonts w:hint="eastAsia" w:ascii="宋体" w:hAnsi="宋体" w:eastAsia="宋体" w:cs="宋体"/>
          <w:szCs w:val="21"/>
          <w:u w:val="single"/>
        </w:rPr>
      </w:pPr>
      <w:r>
        <w:rPr>
          <w:rFonts w:hint="eastAsia" w:ascii="宋体" w:hAnsi="宋体" w:eastAsia="宋体" w:cs="宋体"/>
          <w:szCs w:val="21"/>
        </w:rPr>
        <w:t>电话：</w:t>
      </w:r>
      <w:r>
        <w:rPr>
          <w:rFonts w:hint="eastAsia" w:ascii="宋体" w:hAnsi="宋体" w:eastAsia="宋体" w:cs="宋体"/>
          <w:szCs w:val="21"/>
          <w:u w:val="single"/>
        </w:rPr>
        <w:t xml:space="preserve">                      </w:t>
      </w:r>
      <w:r>
        <w:rPr>
          <w:rFonts w:hint="eastAsia" w:ascii="宋体" w:hAnsi="宋体" w:eastAsia="宋体" w:cs="宋体"/>
          <w:szCs w:val="21"/>
        </w:rPr>
        <w:t xml:space="preserve">   电话：</w:t>
      </w:r>
      <w:r>
        <w:rPr>
          <w:rFonts w:hint="eastAsia" w:ascii="宋体" w:hAnsi="宋体" w:eastAsia="宋体" w:cs="宋体"/>
          <w:szCs w:val="21"/>
          <w:u w:val="single"/>
        </w:rPr>
        <w:t xml:space="preserve">                         </w:t>
      </w:r>
    </w:p>
    <w:p w14:paraId="0F818BC5">
      <w:pPr>
        <w:keepNext w:val="0"/>
        <w:keepLines w:val="0"/>
        <w:kinsoku/>
        <w:wordWrap/>
        <w:overflowPunct/>
        <w:topLinePunct w:val="0"/>
        <w:bidi w:val="0"/>
        <w:adjustRightInd w:val="0"/>
        <w:snapToGrid w:val="0"/>
        <w:spacing w:line="440" w:lineRule="exact"/>
        <w:ind w:firstLine="435" w:firstLineChars="198"/>
        <w:jc w:val="left"/>
        <w:textAlignment w:val="auto"/>
        <w:rPr>
          <w:rFonts w:hint="eastAsia" w:ascii="宋体" w:hAnsi="宋体" w:eastAsia="宋体" w:cs="宋体"/>
          <w:szCs w:val="21"/>
        </w:rPr>
      </w:pPr>
      <w:r>
        <w:rPr>
          <w:rFonts w:hint="eastAsia" w:ascii="宋体" w:hAnsi="宋体" w:eastAsia="宋体" w:cs="宋体"/>
          <w:szCs w:val="21"/>
        </w:rPr>
        <w:t>传真：</w:t>
      </w:r>
      <w:r>
        <w:rPr>
          <w:rFonts w:hint="eastAsia" w:ascii="宋体" w:hAnsi="宋体" w:eastAsia="宋体" w:cs="宋体"/>
          <w:szCs w:val="21"/>
          <w:u w:val="single"/>
        </w:rPr>
        <w:t xml:space="preserve">                      </w:t>
      </w:r>
      <w:r>
        <w:rPr>
          <w:rFonts w:hint="eastAsia" w:ascii="宋体" w:hAnsi="宋体" w:eastAsia="宋体" w:cs="宋体"/>
          <w:szCs w:val="21"/>
        </w:rPr>
        <w:t xml:space="preserve">   传真：</w:t>
      </w:r>
      <w:r>
        <w:rPr>
          <w:rFonts w:hint="eastAsia" w:ascii="宋体" w:hAnsi="宋体" w:eastAsia="宋体" w:cs="宋体"/>
          <w:szCs w:val="21"/>
          <w:u w:val="single"/>
        </w:rPr>
        <w:t xml:space="preserve">                         </w:t>
      </w:r>
    </w:p>
    <w:p w14:paraId="2C67DD67">
      <w:pPr>
        <w:keepNext w:val="0"/>
        <w:keepLines w:val="0"/>
        <w:kinsoku/>
        <w:wordWrap/>
        <w:overflowPunct/>
        <w:topLinePunct w:val="0"/>
        <w:bidi w:val="0"/>
        <w:adjustRightInd w:val="0"/>
        <w:snapToGrid w:val="0"/>
        <w:spacing w:line="440" w:lineRule="exact"/>
        <w:ind w:firstLine="435" w:firstLineChars="198"/>
        <w:jc w:val="left"/>
        <w:textAlignment w:val="auto"/>
        <w:rPr>
          <w:rFonts w:hint="eastAsia" w:ascii="宋体" w:hAnsi="宋体" w:eastAsia="宋体" w:cs="宋体"/>
          <w:szCs w:val="21"/>
          <w:u w:val="single"/>
        </w:rPr>
      </w:pPr>
      <w:r>
        <w:rPr>
          <w:rFonts w:hint="eastAsia" w:ascii="宋体" w:hAnsi="宋体" w:eastAsia="宋体" w:cs="宋体"/>
          <w:szCs w:val="21"/>
        </w:rPr>
        <w:t>电子邮箱：</w:t>
      </w:r>
      <w:r>
        <w:rPr>
          <w:rFonts w:hint="eastAsia" w:ascii="宋体" w:hAnsi="宋体" w:eastAsia="宋体" w:cs="宋体"/>
          <w:szCs w:val="21"/>
          <w:u w:val="single"/>
        </w:rPr>
        <w:t xml:space="preserve">                 </w:t>
      </w:r>
      <w:r>
        <w:rPr>
          <w:rFonts w:hint="eastAsia" w:ascii="宋体" w:hAnsi="宋体" w:eastAsia="宋体" w:cs="宋体"/>
          <w:szCs w:val="21"/>
        </w:rPr>
        <w:t xml:space="preserve">    电子邮箱： </w:t>
      </w:r>
      <w:r>
        <w:rPr>
          <w:rFonts w:hint="eastAsia" w:ascii="宋体" w:hAnsi="宋体" w:eastAsia="宋体" w:cs="宋体"/>
          <w:szCs w:val="21"/>
          <w:u w:val="single"/>
        </w:rPr>
        <w:t xml:space="preserve">                    </w:t>
      </w:r>
    </w:p>
    <w:p w14:paraId="21BE108A">
      <w:pPr>
        <w:keepNext w:val="0"/>
        <w:keepLines w:val="0"/>
        <w:kinsoku/>
        <w:wordWrap/>
        <w:overflowPunct/>
        <w:topLinePunct w:val="0"/>
        <w:bidi w:val="0"/>
        <w:adjustRightInd w:val="0"/>
        <w:snapToGrid w:val="0"/>
        <w:spacing w:line="440" w:lineRule="exact"/>
        <w:jc w:val="left"/>
        <w:textAlignment w:val="auto"/>
        <w:rPr>
          <w:rFonts w:hint="eastAsia" w:ascii="宋体" w:hAnsi="宋体" w:eastAsia="宋体" w:cs="宋体"/>
          <w:szCs w:val="21"/>
          <w:u w:val="single"/>
        </w:rPr>
      </w:pPr>
    </w:p>
    <w:p w14:paraId="275957E1">
      <w:pPr>
        <w:rPr>
          <w:rFonts w:hint="eastAsia" w:ascii="宋体" w:hAnsi="宋体" w:eastAsia="宋体" w:cs="宋体"/>
          <w:b/>
          <w:bCs/>
          <w:szCs w:val="21"/>
        </w:rPr>
      </w:pPr>
      <w:bookmarkStart w:id="70" w:name="_Toc20495"/>
      <w:r>
        <w:rPr>
          <w:rFonts w:hint="eastAsia" w:ascii="宋体" w:hAnsi="宋体" w:eastAsia="宋体" w:cs="宋体"/>
          <w:b/>
          <w:bCs/>
          <w:szCs w:val="21"/>
        </w:rPr>
        <w:br w:type="page"/>
      </w:r>
    </w:p>
    <w:p w14:paraId="673C7029">
      <w:pPr>
        <w:keepNext w:val="0"/>
        <w:keepLines w:val="0"/>
        <w:kinsoku/>
        <w:wordWrap/>
        <w:overflowPunct/>
        <w:topLinePunct w:val="0"/>
        <w:bidi w:val="0"/>
        <w:spacing w:line="440" w:lineRule="exact"/>
        <w:jc w:val="center"/>
        <w:textAlignment w:val="auto"/>
        <w:outlineLvl w:val="1"/>
        <w:rPr>
          <w:rFonts w:hint="eastAsia" w:ascii="宋体" w:hAnsi="宋体" w:eastAsia="宋体" w:cs="宋体"/>
          <w:b/>
          <w:bCs/>
          <w:szCs w:val="21"/>
        </w:rPr>
      </w:pPr>
      <w:r>
        <w:rPr>
          <w:rFonts w:hint="eastAsia" w:ascii="宋体" w:hAnsi="宋体" w:eastAsia="宋体" w:cs="宋体"/>
          <w:b/>
          <w:bCs/>
          <w:szCs w:val="21"/>
        </w:rPr>
        <w:t>第二部分   通用条件</w:t>
      </w:r>
      <w:bookmarkEnd w:id="70"/>
    </w:p>
    <w:p w14:paraId="687BC889">
      <w:pPr>
        <w:keepNext w:val="0"/>
        <w:keepLines w:val="0"/>
        <w:widowControl/>
        <w:tabs>
          <w:tab w:val="left" w:pos="580"/>
        </w:tabs>
        <w:kinsoku/>
        <w:wordWrap/>
        <w:overflowPunct/>
        <w:topLinePunct w:val="0"/>
        <w:bidi w:val="0"/>
        <w:spacing w:line="440" w:lineRule="exact"/>
        <w:ind w:left="262"/>
        <w:textAlignment w:val="auto"/>
        <w:rPr>
          <w:rFonts w:hint="eastAsia" w:ascii="宋体" w:hAnsi="宋体" w:eastAsia="宋体" w:cs="宋体"/>
          <w:b/>
          <w:szCs w:val="21"/>
        </w:rPr>
      </w:pPr>
    </w:p>
    <w:p w14:paraId="33FC69B9">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71" w:name="_Toc11326"/>
      <w:r>
        <w:rPr>
          <w:rFonts w:hint="eastAsia" w:ascii="宋体" w:hAnsi="宋体" w:eastAsia="宋体" w:cs="宋体"/>
          <w:b/>
          <w:bCs/>
        </w:rPr>
        <w:t>1.定义与解释</w:t>
      </w:r>
      <w:bookmarkEnd w:id="71"/>
    </w:p>
    <w:p w14:paraId="1B626591">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72" w:name="_Toc15805"/>
      <w:r>
        <w:rPr>
          <w:rFonts w:hint="eastAsia" w:ascii="宋体" w:hAnsi="宋体" w:eastAsia="宋体" w:cs="宋体"/>
          <w:sz w:val="21"/>
          <w:szCs w:val="16"/>
        </w:rPr>
        <w:t>1.1 定义</w:t>
      </w:r>
      <w:bookmarkEnd w:id="72"/>
    </w:p>
    <w:p w14:paraId="7ED471C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除根据上下文另有其意义外，组成本合同的全部文件中的下列名词和用语应具有本款所赋予的含义：</w:t>
      </w:r>
    </w:p>
    <w:p w14:paraId="7A175FC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1.1.1 “工程”是指按照本合同约定实施监理与相关服务的建设工程。</w:t>
      </w:r>
    </w:p>
    <w:p w14:paraId="49F6D54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1.1.2 “委托人”是指本合同中委托监理与相关服务的一方，及其合法的继承人或受让人。</w:t>
      </w:r>
    </w:p>
    <w:p w14:paraId="5E1448B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1.1.3 “监理人”是指本合同中提供监理与相关服务的一方，及其合法的继承人。</w:t>
      </w:r>
    </w:p>
    <w:p w14:paraId="612C96D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1.1.4 “承包人”是指在工程范围内与委托人签订勘察、设计、施工等有关合同的当事人，及其合法的继承人。</w:t>
      </w:r>
    </w:p>
    <w:p w14:paraId="2ABCAB7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620EE4D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1.1.6 “相关服务”是指监理人受委托人的委托 ，按照本合同约定，在勘察、设计、保修等阶段提供的服务活动。</w:t>
      </w:r>
    </w:p>
    <w:p w14:paraId="2FF55D5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1.1.7 “正常工作”指本合同订立时通用条件和专用条件中约定的监理人的工作。</w:t>
      </w:r>
    </w:p>
    <w:p w14:paraId="56D9D9D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1.1.8 “附加工作”是指本合同约定的正常工作以外监理人的工作。</w:t>
      </w:r>
    </w:p>
    <w:p w14:paraId="0293F0D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1.1.9 “项目监理机构”是指监理人派驻工程负责履行本合同的组织机构。</w:t>
      </w:r>
    </w:p>
    <w:p w14:paraId="1FC176E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1.1.10 “总监理工程师”是指由监理人的法定代表人书面授权，全面负责履行本合同、主持项目监理机构工作的注册监理工程师。</w:t>
      </w:r>
    </w:p>
    <w:p w14:paraId="636C68F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1.1.11 “酬金”是指监理人履行本合同义务，委托人按照本合同约定给付监理人的金额。</w:t>
      </w:r>
    </w:p>
    <w:p w14:paraId="5616515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1.1.12 “正常工作酬金”是指监理人完成正常工作，委托人应给付监理人并在协议书中载明的签约酬金额。</w:t>
      </w:r>
    </w:p>
    <w:p w14:paraId="0CB26C9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1.1.13 “附加工作酬金”是指监理人完成附加工作，委托人应给付监理人的金额。</w:t>
      </w:r>
    </w:p>
    <w:p w14:paraId="4153B84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1.1.14 “一方”是指委托人或监理人；“双方”是指委托人和监理人；“第三方”是指除委托人和监理人以外的有关方。</w:t>
      </w:r>
    </w:p>
    <w:p w14:paraId="09B7EF6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1.1.15 “书面形式”是指合同书、信件和数据电文（包括电报、电传、传真、电子数据交换和电子邮件）等可以有形地表现所载内容的形式。</w:t>
      </w:r>
    </w:p>
    <w:p w14:paraId="2DEC4D1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1.1.16 “天”是指第一天零时至第二天零时的时间。</w:t>
      </w:r>
    </w:p>
    <w:p w14:paraId="21142A0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bookmarkStart w:id="73" w:name="page50"/>
      <w:bookmarkEnd w:id="73"/>
      <w:r>
        <w:rPr>
          <w:rFonts w:hint="eastAsia" w:ascii="宋体" w:hAnsi="宋体" w:eastAsia="宋体" w:cs="宋体"/>
          <w:szCs w:val="21"/>
        </w:rPr>
        <w:t>1.1.17“月”是指按公历从一个月中任何一天开始的一个公历月时间。</w:t>
      </w:r>
    </w:p>
    <w:p w14:paraId="49D19AF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7006028D">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r>
        <w:rPr>
          <w:rFonts w:hint="eastAsia" w:ascii="宋体" w:hAnsi="宋体" w:eastAsia="宋体" w:cs="宋体"/>
          <w:sz w:val="21"/>
          <w:szCs w:val="16"/>
        </w:rPr>
        <w:t>1.2 解释</w:t>
      </w:r>
    </w:p>
    <w:p w14:paraId="6E0F04B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1.2.1 本合同使用中文书写、解释和说明。如专用条件约定使用两种及以上语言文字时，应以中文为准。</w:t>
      </w:r>
    </w:p>
    <w:p w14:paraId="3F6A4F2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1.2.2 组成本合同的下列文件彼此应能相互解释、互为说明。除专用条件另有约定外，本合同文件的解释顺序如下：</w:t>
      </w:r>
    </w:p>
    <w:p w14:paraId="22CA1AC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（1）协议书；</w:t>
      </w:r>
    </w:p>
    <w:p w14:paraId="5C137BE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（2）中标通知书（适用于招标工程）或委托书（适用于非招标工程）；</w:t>
      </w:r>
    </w:p>
    <w:p w14:paraId="5E3F705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（3）专用条件及附录 A、附录 B；</w:t>
      </w:r>
    </w:p>
    <w:p w14:paraId="24EBAE8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（4）通用条件；</w:t>
      </w:r>
    </w:p>
    <w:p w14:paraId="0867433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（5）投标文件（适用于招标工程）或监理与相关服务建议书（适用于非招标工程）。双方签订的补充协议与其他文件发生矛盾或歧义时，属于同一类内容的文件，应以最新签署的为准。</w:t>
      </w:r>
    </w:p>
    <w:p w14:paraId="57469EE8">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74" w:name="_Toc26083"/>
      <w:r>
        <w:rPr>
          <w:rFonts w:hint="eastAsia" w:ascii="宋体" w:hAnsi="宋体" w:eastAsia="宋体" w:cs="宋体"/>
          <w:b/>
          <w:bCs/>
        </w:rPr>
        <w:t>2. 监理人的义务</w:t>
      </w:r>
      <w:bookmarkEnd w:id="74"/>
    </w:p>
    <w:p w14:paraId="241B341F">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75" w:name="_Toc5508"/>
      <w:r>
        <w:rPr>
          <w:rFonts w:hint="eastAsia" w:ascii="宋体" w:hAnsi="宋体" w:eastAsia="宋体" w:cs="宋体"/>
          <w:sz w:val="21"/>
          <w:szCs w:val="16"/>
        </w:rPr>
        <w:t>2.1 监理的范围和工作内容</w:t>
      </w:r>
      <w:bookmarkEnd w:id="75"/>
    </w:p>
    <w:p w14:paraId="7BE00E2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2.1.1 监理范围在专用条件中约定。</w:t>
      </w:r>
    </w:p>
    <w:p w14:paraId="71A8644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2.1.2 除专用条件另有约定外，监理工作内容包括：</w:t>
      </w:r>
    </w:p>
    <w:p w14:paraId="1113620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（1）收到工程设计文件后编制监理规划，并在第一次工地会议 7 天前报委托人。根据有关规定和监理工作需要，编制监理实施细则；</w:t>
      </w:r>
    </w:p>
    <w:p w14:paraId="735A41A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（2）熟悉工程设计文件，并参加由委托人主持的图纸会审和设计交底会议；</w:t>
      </w:r>
    </w:p>
    <w:p w14:paraId="3A359E9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（3）参加由委托人主持的第一次工地会议；主持监理例会并根据工程需要主持或参加专题会议；</w:t>
      </w:r>
    </w:p>
    <w:p w14:paraId="26ED3C0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（4）审查施工承包人提交的施工组织设计，重点审查其中的质量安全技术措施、专项施工方案与工程建设强制性标准的符合性；</w:t>
      </w:r>
    </w:p>
    <w:p w14:paraId="53D1081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（5）检查施工承包人工程质量、安全生产管理制度及组织机构和人员资格；</w:t>
      </w:r>
    </w:p>
    <w:p w14:paraId="657E936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（6）检查施工承包人专职安全生产管理人员的配备情况；</w:t>
      </w:r>
    </w:p>
    <w:p w14:paraId="2B66444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（7）审查施工承包人提交的施工进度计划，核查承包人对施工进度计划的调整；</w:t>
      </w:r>
    </w:p>
    <w:p w14:paraId="4B5DB2F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（8）检查施工承包人的试验室；</w:t>
      </w:r>
    </w:p>
    <w:p w14:paraId="4867DD8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（9）审核施工分包人资质条件；</w:t>
      </w:r>
    </w:p>
    <w:p w14:paraId="6E4B854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（10）查验施工承包人的施工测量放线成果；</w:t>
      </w:r>
    </w:p>
    <w:p w14:paraId="5333D51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（11）审查工程开工条件，对条件具备的签发开工令；</w:t>
      </w:r>
    </w:p>
    <w:p w14:paraId="7BF2EC8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bookmarkStart w:id="76" w:name="page51"/>
      <w:bookmarkEnd w:id="76"/>
      <w:r>
        <w:rPr>
          <w:rFonts w:hint="eastAsia" w:ascii="宋体" w:hAnsi="宋体" w:eastAsia="宋体" w:cs="宋体"/>
          <w:szCs w:val="21"/>
        </w:rPr>
        <w:t>（12）审查施工承包人报送的工程材料、构配件、设备质量证明文件的有效性和符合性，并按规定对用于工程的材料采取平行检验或见证取样方式进行抽检；</w:t>
      </w:r>
    </w:p>
    <w:p w14:paraId="6D4CF2E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（13）审核施工承包人提交的工程款支付申请，签发或出具工程款支付证书，并报委托人审核、批准；</w:t>
      </w:r>
    </w:p>
    <w:p w14:paraId="4AF9C05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（14）在巡视、旁站和检验过程中，发现工程质量、施工安全存在事故隐患的，要求施工承包人整改并报委托人；</w:t>
      </w:r>
    </w:p>
    <w:p w14:paraId="3DA2FAD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（15）经委托人同意，签发工程暂停令和复工令；</w:t>
      </w:r>
    </w:p>
    <w:p w14:paraId="67FA2DE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（16）审查施工承包人提交的采用新材料、新工艺、新技术、新设备的论证材料及相关验收标准；</w:t>
      </w:r>
    </w:p>
    <w:p w14:paraId="0B15A41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（17）验收隐蔽工程、分部分项工程；</w:t>
      </w:r>
    </w:p>
    <w:p w14:paraId="6E074D4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（18）审查施工承包人提交的工程变更申请，协调处理施工进度调整、费用索赔、合同争议等事项；</w:t>
      </w:r>
    </w:p>
    <w:p w14:paraId="200F270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（19）审查施工承包人提交的竣工验收申请，编写工程质量评估报告；</w:t>
      </w:r>
    </w:p>
    <w:p w14:paraId="06E04AB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（20）参加工程竣工验收，签署竣工验收意见；</w:t>
      </w:r>
    </w:p>
    <w:p w14:paraId="1F64A3F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（21）审查施工承包人提交的竣工结算申请并报委托人；</w:t>
      </w:r>
    </w:p>
    <w:p w14:paraId="63D5DEA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（22）编制、整理工程监理归档文件并报委托人。</w:t>
      </w:r>
    </w:p>
    <w:p w14:paraId="4A9F4EA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2.1.3 相关服务的范围和内容在附录 A 中约定。</w:t>
      </w:r>
    </w:p>
    <w:p w14:paraId="57EAFB4F">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77" w:name="_Toc27875"/>
      <w:r>
        <w:rPr>
          <w:rFonts w:hint="eastAsia" w:ascii="宋体" w:hAnsi="宋体" w:eastAsia="宋体" w:cs="宋体"/>
          <w:sz w:val="21"/>
          <w:szCs w:val="16"/>
        </w:rPr>
        <w:t>2.2 监理与相关服务依据</w:t>
      </w:r>
      <w:bookmarkEnd w:id="77"/>
    </w:p>
    <w:p w14:paraId="64CF1E4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2.2.1 监理依据包括：</w:t>
      </w:r>
    </w:p>
    <w:p w14:paraId="7C37E88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（1）适用的法律、行政法规及部门规章；</w:t>
      </w:r>
    </w:p>
    <w:p w14:paraId="0EB5A81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（2）与工程有关的标准；</w:t>
      </w:r>
    </w:p>
    <w:p w14:paraId="77275F82">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（3）工程设计及有关文件；</w:t>
      </w:r>
    </w:p>
    <w:p w14:paraId="782A149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（4）本合同及委托人与第三方签订的与实施工程有关的其他合同。</w:t>
      </w:r>
    </w:p>
    <w:p w14:paraId="27BA8D8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双方根据工程的行业和地域特点，在专用条件中具体约定监理依据。</w:t>
      </w:r>
    </w:p>
    <w:p w14:paraId="35588BB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2.2.2 相关服务依据在专用条件中约定。</w:t>
      </w:r>
    </w:p>
    <w:p w14:paraId="38E11F05">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78" w:name="_Toc20075"/>
      <w:r>
        <w:rPr>
          <w:rFonts w:hint="eastAsia" w:ascii="宋体" w:hAnsi="宋体" w:eastAsia="宋体" w:cs="宋体"/>
          <w:sz w:val="21"/>
          <w:szCs w:val="16"/>
        </w:rPr>
        <w:t>2.3 项目监理机构和人员</w:t>
      </w:r>
      <w:bookmarkEnd w:id="78"/>
    </w:p>
    <w:p w14:paraId="0AB6585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2.3.1 监理人应组建满足工作需要的项目监理机构，配备必要的检测设备。项目监理机构的主要人员应具有相应的资格条件。</w:t>
      </w:r>
    </w:p>
    <w:p w14:paraId="45810AE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2.3.2 本合同履行过程中，总监理工程师及重要岗位监理人员应保持相对稳定，以保证监理工作正常进行。</w:t>
      </w:r>
    </w:p>
    <w:p w14:paraId="1745C71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2.3.3 监理人可根据工程进展和工作需要调整项目监理机构人员。监理人更换总监理工程师时，应提前 7 天向委托人书面报告，经委托人同意后方可更换；监理人更换项目监理机构其他监理人员，应以相当资格与能力的人员替换，并通知委托人。</w:t>
      </w:r>
    </w:p>
    <w:p w14:paraId="640C67B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2.3.4 监理人应及时更换有下列情形之一的监理人员：</w:t>
      </w:r>
    </w:p>
    <w:p w14:paraId="73E1736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bookmarkStart w:id="79" w:name="page52"/>
      <w:bookmarkEnd w:id="79"/>
      <w:r>
        <w:rPr>
          <w:rFonts w:hint="eastAsia" w:ascii="宋体" w:hAnsi="宋体" w:eastAsia="宋体" w:cs="宋体"/>
          <w:szCs w:val="21"/>
        </w:rPr>
        <w:t>（1）严重过失行为的；</w:t>
      </w:r>
    </w:p>
    <w:p w14:paraId="50C81CC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（2）有违法行为不能履行职责的；</w:t>
      </w:r>
    </w:p>
    <w:p w14:paraId="5A6036C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（3）涉嫌犯罪的；</w:t>
      </w:r>
    </w:p>
    <w:p w14:paraId="3D419DB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（4）不能胜任岗位职责的；</w:t>
      </w:r>
    </w:p>
    <w:p w14:paraId="4067E80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（5）严重违反职业道德的；</w:t>
      </w:r>
    </w:p>
    <w:p w14:paraId="05A13E5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（6）专用条件约定的其他情形。</w:t>
      </w:r>
    </w:p>
    <w:p w14:paraId="1114C3E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2.3.5 委托人有权要求监理人更换不能胜任本职工作的项目监理机构人员。</w:t>
      </w:r>
    </w:p>
    <w:p w14:paraId="2000F1D1">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80" w:name="_Toc25495"/>
      <w:r>
        <w:rPr>
          <w:rFonts w:hint="eastAsia" w:ascii="宋体" w:hAnsi="宋体" w:eastAsia="宋体" w:cs="宋体"/>
          <w:sz w:val="21"/>
          <w:szCs w:val="16"/>
        </w:rPr>
        <w:t>2.4 履行职责</w:t>
      </w:r>
      <w:bookmarkEnd w:id="80"/>
    </w:p>
    <w:p w14:paraId="3898CDE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监理人应遵循职业道德准则和行为规范，严格按照法律法规、工程建设有关标准及本合同履行职责。</w:t>
      </w:r>
    </w:p>
    <w:p w14:paraId="5F0BB2E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2.4.1 在监理与相关服务范围内，委托人和承包人提出的意见和要求，监理人应及时提出处置意见。当委托人与承包人之间发生合同争议时，监理人应协助委托人、承包人协商解决。</w:t>
      </w:r>
    </w:p>
    <w:p w14:paraId="12BE092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2.4.2 当委托人与承包人之间的合同争议提交仲裁机构仲裁或人民法院审理时，监理人应提供必要的证明资料。</w:t>
      </w:r>
    </w:p>
    <w:p w14:paraId="5BEF519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2.4.3 监理人应在专用条件约定的授权范围内，处理委托人与承包人所签订合同的变更事宜。如果变更超过授权范围，应以书面形式报委托人批准。</w:t>
      </w:r>
    </w:p>
    <w:p w14:paraId="2B742E9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在紧急情况下，为了保护财产和人身安全，监理人所发出的指令未能事先报委托人批准时，应在发出指令后的 24 小时内以书面形式报委托人。</w:t>
      </w:r>
    </w:p>
    <w:p w14:paraId="1D88201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2.4.4 除专用条件另有约定外，监理人发现承包人的人员不能胜任本职工作的，有权要求承包人予以调换。</w:t>
      </w:r>
    </w:p>
    <w:p w14:paraId="08FAE53C">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81" w:name="_Toc25788"/>
      <w:r>
        <w:rPr>
          <w:rFonts w:hint="eastAsia" w:ascii="宋体" w:hAnsi="宋体" w:eastAsia="宋体" w:cs="宋体"/>
          <w:sz w:val="21"/>
          <w:szCs w:val="16"/>
          <w:lang w:val="en-US" w:eastAsia="zh-CN"/>
        </w:rPr>
        <w:t>2.5 提交报告</w:t>
      </w:r>
      <w:bookmarkEnd w:id="81"/>
    </w:p>
    <w:p w14:paraId="1A1F618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监理人应按专用条件约定的种类、时间和份数向委托人提交监理与相关服务的报告。</w:t>
      </w:r>
    </w:p>
    <w:p w14:paraId="42F8DF5D">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82" w:name="_Toc5509"/>
      <w:r>
        <w:rPr>
          <w:rFonts w:hint="eastAsia" w:ascii="宋体" w:hAnsi="宋体" w:eastAsia="宋体" w:cs="宋体"/>
          <w:sz w:val="21"/>
          <w:szCs w:val="16"/>
        </w:rPr>
        <w:t>2.6 文件资料</w:t>
      </w:r>
      <w:bookmarkEnd w:id="82"/>
    </w:p>
    <w:p w14:paraId="18B6BC6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在本合同履行期内，监理人应在现场保留工作所用的图纸、报告及记录监理工作的相关文件。工程竣工后，应当按照档案管理规定将监理有关文件归档。</w:t>
      </w:r>
    </w:p>
    <w:p w14:paraId="4711472B">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83" w:name="_Toc17391"/>
      <w:r>
        <w:rPr>
          <w:rFonts w:hint="eastAsia" w:ascii="宋体" w:hAnsi="宋体" w:eastAsia="宋体" w:cs="宋体"/>
          <w:sz w:val="21"/>
          <w:szCs w:val="16"/>
        </w:rPr>
        <w:t>2.7 使用委托人的财产</w:t>
      </w:r>
      <w:bookmarkEnd w:id="83"/>
    </w:p>
    <w:p w14:paraId="7D83F48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监理人无偿使用附录 B 中由委托人派遣的人员和提供的房屋、资料、设备。除专用条件另有约定外，委托人提供的房屋、设备属于委托人的财产，监理人应妥善使用和保管，在本合同终止时将 这些房屋、设备的清单提交委托人，并按专用条件约定的时间和方式移交。 </w:t>
      </w:r>
    </w:p>
    <w:p w14:paraId="4EBF740F">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84" w:name="_Toc7694"/>
      <w:r>
        <w:rPr>
          <w:rFonts w:hint="eastAsia" w:ascii="宋体" w:hAnsi="宋体" w:eastAsia="宋体" w:cs="宋体"/>
          <w:b/>
          <w:bCs/>
        </w:rPr>
        <w:t>3．委托人的义务</w:t>
      </w:r>
      <w:bookmarkEnd w:id="84"/>
    </w:p>
    <w:p w14:paraId="3134E326">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85" w:name="_Toc10378"/>
      <w:r>
        <w:rPr>
          <w:rFonts w:hint="eastAsia" w:ascii="宋体" w:hAnsi="宋体" w:eastAsia="宋体" w:cs="宋体"/>
          <w:sz w:val="21"/>
          <w:szCs w:val="16"/>
        </w:rPr>
        <w:t>3.1 告知</w:t>
      </w:r>
      <w:bookmarkEnd w:id="85"/>
    </w:p>
    <w:p w14:paraId="725A345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委托人应在委托人与承包人签订的合同中明确监理人、总监理工程师和授予项目监理</w:t>
      </w:r>
      <w:bookmarkStart w:id="86" w:name="page53"/>
      <w:bookmarkEnd w:id="86"/>
      <w:r>
        <w:rPr>
          <w:rFonts w:hint="eastAsia" w:ascii="宋体" w:hAnsi="宋体" w:eastAsia="宋体" w:cs="宋体"/>
          <w:szCs w:val="21"/>
        </w:rPr>
        <w:t>机构的权限。如有变更，应及时通知承包人。</w:t>
      </w:r>
    </w:p>
    <w:p w14:paraId="3A5BFDA6">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r>
        <w:rPr>
          <w:rFonts w:hint="eastAsia" w:ascii="宋体" w:hAnsi="宋体" w:eastAsia="宋体" w:cs="宋体"/>
          <w:sz w:val="21"/>
          <w:szCs w:val="16"/>
        </w:rPr>
        <w:t>3.2 提供资料</w:t>
      </w:r>
    </w:p>
    <w:p w14:paraId="779C737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委托人应按照附录 B 约定，无偿向监理人提供工程有关的资料。在本合同履行过程中，委托人应及时向监理人提供最新的与工程有关的资料。</w:t>
      </w:r>
    </w:p>
    <w:p w14:paraId="15C28890">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87" w:name="_Toc29335"/>
      <w:r>
        <w:rPr>
          <w:rFonts w:hint="eastAsia" w:ascii="宋体" w:hAnsi="宋体" w:eastAsia="宋体" w:cs="宋体"/>
          <w:sz w:val="21"/>
          <w:szCs w:val="16"/>
        </w:rPr>
        <w:t>3.3 提供工作条件</w:t>
      </w:r>
      <w:bookmarkEnd w:id="87"/>
    </w:p>
    <w:p w14:paraId="6ABE0BF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委托人应为监理人完成监理与相关服务提供必要的条件。</w:t>
      </w:r>
    </w:p>
    <w:p w14:paraId="5C10BE9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3.3.1 委托人应按照附录 B 约定，派遣相应的人员，提供房屋、设备，供监理人无偿使用。</w:t>
      </w:r>
    </w:p>
    <w:p w14:paraId="1B7E0B4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3.3.2 委托人应负责协调工程建设中所有外部关系，为监理人履行本合同提供必要的外部条件。</w:t>
      </w:r>
    </w:p>
    <w:p w14:paraId="090E9E51">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88" w:name="_Toc21345"/>
      <w:r>
        <w:rPr>
          <w:rFonts w:hint="eastAsia" w:ascii="宋体" w:hAnsi="宋体" w:eastAsia="宋体" w:cs="宋体"/>
          <w:sz w:val="21"/>
          <w:szCs w:val="16"/>
        </w:rPr>
        <w:t>3.4 委托人代表</w:t>
      </w:r>
      <w:bookmarkEnd w:id="88"/>
    </w:p>
    <w:p w14:paraId="076ADE2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委托人应授权一名熟悉工程情况的代表，负责与监理人联系。委托人应在双方签订本合同后 7 天内，将委托人代表的姓名和职责书面告知监理人。当委托人更换委托人代表时，应提前 7 天通知监理人。</w:t>
      </w:r>
    </w:p>
    <w:p w14:paraId="1D8F018E">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89" w:name="_Toc23796"/>
      <w:r>
        <w:rPr>
          <w:rFonts w:hint="eastAsia" w:ascii="宋体" w:hAnsi="宋体" w:eastAsia="宋体" w:cs="宋体"/>
          <w:sz w:val="21"/>
          <w:szCs w:val="16"/>
        </w:rPr>
        <w:t>3.5 委托人意见或要求</w:t>
      </w:r>
      <w:bookmarkEnd w:id="89"/>
    </w:p>
    <w:p w14:paraId="766C844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在本合同约定的监理与相关服务工作范围内，委托人对承包人的任何意见或要求应通知监理人，由监理人向承包人发出相应指令。</w:t>
      </w:r>
    </w:p>
    <w:p w14:paraId="3B129FEA">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90" w:name="_Toc16530"/>
      <w:r>
        <w:rPr>
          <w:rFonts w:hint="eastAsia" w:ascii="宋体" w:hAnsi="宋体" w:eastAsia="宋体" w:cs="宋体"/>
          <w:sz w:val="21"/>
          <w:szCs w:val="16"/>
        </w:rPr>
        <w:t>3.6 答复</w:t>
      </w:r>
      <w:bookmarkEnd w:id="90"/>
    </w:p>
    <w:p w14:paraId="633FF67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委托人应在专用条件约定的时间内，对监理人以书面形式提交并要求作出决定的事宜，给予书面答复。逾期未答复的，视为委托人认可。</w:t>
      </w:r>
    </w:p>
    <w:p w14:paraId="6476FB91">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91" w:name="_Toc18469"/>
      <w:r>
        <w:rPr>
          <w:rFonts w:hint="eastAsia" w:ascii="宋体" w:hAnsi="宋体" w:eastAsia="宋体" w:cs="宋体"/>
          <w:sz w:val="21"/>
          <w:szCs w:val="16"/>
        </w:rPr>
        <w:t>3.7 支付</w:t>
      </w:r>
      <w:bookmarkEnd w:id="91"/>
    </w:p>
    <w:p w14:paraId="540E760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委托人应按本合同约定，向监理人支付酬金。</w:t>
      </w:r>
    </w:p>
    <w:p w14:paraId="7E786607">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92" w:name="_Toc16341"/>
      <w:r>
        <w:rPr>
          <w:rFonts w:hint="eastAsia" w:ascii="宋体" w:hAnsi="宋体" w:eastAsia="宋体" w:cs="宋体"/>
          <w:b/>
          <w:bCs/>
        </w:rPr>
        <w:t>4. 违约责任</w:t>
      </w:r>
      <w:bookmarkEnd w:id="92"/>
    </w:p>
    <w:p w14:paraId="1AF8235E">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93" w:name="_Toc31870"/>
      <w:r>
        <w:rPr>
          <w:rFonts w:hint="eastAsia" w:ascii="宋体" w:hAnsi="宋体" w:eastAsia="宋体" w:cs="宋体"/>
          <w:sz w:val="21"/>
          <w:szCs w:val="16"/>
        </w:rPr>
        <w:t>4.1 监理人的违约责任</w:t>
      </w:r>
      <w:bookmarkEnd w:id="93"/>
    </w:p>
    <w:p w14:paraId="676A5D2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监理人未履行本合同义务的，应承担相应的责任。</w:t>
      </w:r>
    </w:p>
    <w:p w14:paraId="6B4FBC22">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4.1.1 因监理人违反本合同约定给委托人造成损失的，监理人应当赔偿委托人损失。赔偿金额的确定方法在专用条件中约定。监理人承担部分赔偿责任的，其承担赔偿金额由双方协商确定。</w:t>
      </w:r>
    </w:p>
    <w:p w14:paraId="60574AC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4.1.2 监理人向委托人的索赔不成立时，监理人应赔偿委托人由此发生的费用。</w:t>
      </w:r>
    </w:p>
    <w:p w14:paraId="7357467C">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94" w:name="_Toc11906"/>
      <w:r>
        <w:rPr>
          <w:rFonts w:hint="eastAsia" w:ascii="宋体" w:hAnsi="宋体" w:eastAsia="宋体" w:cs="宋体"/>
          <w:sz w:val="21"/>
          <w:szCs w:val="16"/>
        </w:rPr>
        <w:t>4.2 委托人的违约责任</w:t>
      </w:r>
      <w:bookmarkEnd w:id="94"/>
    </w:p>
    <w:p w14:paraId="0733440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委托人未履行本合同义务的，应承担相应的责任。</w:t>
      </w:r>
    </w:p>
    <w:p w14:paraId="6300FFB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4.2.1 委托人违反本合同约定造成监理人损失的，委托人应予以赔偿。</w:t>
      </w:r>
    </w:p>
    <w:p w14:paraId="26B03C7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4.2.2 委托人未能按期支付酬金超过 28 天，应按专用条件约定支付逾期付款利息。</w:t>
      </w:r>
      <w:bookmarkStart w:id="95" w:name="page54"/>
      <w:bookmarkEnd w:id="95"/>
    </w:p>
    <w:p w14:paraId="43BDF59A">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lang w:val="en-US" w:eastAsia="zh-CN"/>
        </w:rPr>
      </w:pPr>
      <w:bookmarkStart w:id="96" w:name="_Toc9961"/>
      <w:r>
        <w:rPr>
          <w:rFonts w:hint="eastAsia" w:ascii="宋体" w:hAnsi="宋体" w:eastAsia="宋体" w:cs="宋体"/>
          <w:sz w:val="21"/>
          <w:szCs w:val="16"/>
          <w:lang w:val="en-US" w:eastAsia="zh-CN"/>
        </w:rPr>
        <w:t>4.3 除外责任</w:t>
      </w:r>
      <w:bookmarkEnd w:id="96"/>
    </w:p>
    <w:p w14:paraId="390CC6C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因非监理人的原因，且监理人无过错，发生工程质量事故、安全事故、工期延误等造成的损失，监理人不承担赔偿责任。因不可抗力导致本合同全部或部分不能履行时，双方各自承担其因此而造成的损</w:t>
      </w:r>
    </w:p>
    <w:p w14:paraId="18ACC182">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失、损害。</w:t>
      </w:r>
    </w:p>
    <w:p w14:paraId="37D6FF2D">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97" w:name="_Toc32523"/>
      <w:r>
        <w:rPr>
          <w:rFonts w:hint="eastAsia" w:ascii="宋体" w:hAnsi="宋体" w:eastAsia="宋体" w:cs="宋体"/>
          <w:b/>
          <w:bCs/>
        </w:rPr>
        <w:t>5. 支付</w:t>
      </w:r>
      <w:bookmarkEnd w:id="97"/>
    </w:p>
    <w:p w14:paraId="32E1656E">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98" w:name="_Toc11411"/>
      <w:r>
        <w:rPr>
          <w:rFonts w:hint="eastAsia" w:ascii="宋体" w:hAnsi="宋体" w:eastAsia="宋体" w:cs="宋体"/>
          <w:sz w:val="21"/>
          <w:szCs w:val="16"/>
        </w:rPr>
        <w:t>5.1 支付货币</w:t>
      </w:r>
      <w:bookmarkEnd w:id="98"/>
    </w:p>
    <w:p w14:paraId="5BC2C76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除专用条件另有约定外，酬金均以人民币支付。涉及外币支付的，所采用的货币种类、比例和汇率在专用条件中约定。</w:t>
      </w:r>
    </w:p>
    <w:p w14:paraId="3F955935">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99" w:name="_Toc21598"/>
      <w:r>
        <w:rPr>
          <w:rFonts w:hint="eastAsia" w:ascii="宋体" w:hAnsi="宋体" w:eastAsia="宋体" w:cs="宋体"/>
          <w:sz w:val="21"/>
          <w:szCs w:val="16"/>
        </w:rPr>
        <w:t>5.2 支付申请</w:t>
      </w:r>
      <w:bookmarkEnd w:id="99"/>
    </w:p>
    <w:p w14:paraId="347AD30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监理人应在本合同约定的每次应付款时间的 7 天前，向委托人提交支付申请书。支付申请书应当说明当期应付款总额，并列出当期应支付的款项及其金额。</w:t>
      </w:r>
    </w:p>
    <w:p w14:paraId="6A1CD537">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00" w:name="_Toc5442"/>
      <w:r>
        <w:rPr>
          <w:rFonts w:hint="eastAsia" w:ascii="宋体" w:hAnsi="宋体" w:eastAsia="宋体" w:cs="宋体"/>
          <w:sz w:val="21"/>
          <w:szCs w:val="16"/>
        </w:rPr>
        <w:t>5.3 支付酬金</w:t>
      </w:r>
      <w:bookmarkEnd w:id="100"/>
    </w:p>
    <w:p w14:paraId="18EC99D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支付的酬金包括正常工作酬金、附加工作酬金、合理化建议奖励金额及费用。</w:t>
      </w:r>
    </w:p>
    <w:p w14:paraId="252CD785">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01" w:name="_Toc3447"/>
      <w:r>
        <w:rPr>
          <w:rFonts w:hint="eastAsia" w:ascii="宋体" w:hAnsi="宋体" w:eastAsia="宋体" w:cs="宋体"/>
          <w:sz w:val="21"/>
          <w:szCs w:val="16"/>
        </w:rPr>
        <w:t>5.4 有争议部分的付款</w:t>
      </w:r>
      <w:bookmarkEnd w:id="101"/>
    </w:p>
    <w:p w14:paraId="688CFB9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委托人对监理人提交的支付申请书有异议时，应当在收到监理人提交的支付申请书后7天内，以书面形式向监理人发出异议通知。无异议部分的款项应按期支付，有异议部分的款项按第 7 条约定办理。</w:t>
      </w:r>
    </w:p>
    <w:p w14:paraId="49475E1B">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102" w:name="_Toc2343"/>
      <w:r>
        <w:rPr>
          <w:rFonts w:hint="eastAsia" w:ascii="宋体" w:hAnsi="宋体" w:eastAsia="宋体" w:cs="宋体"/>
          <w:b/>
          <w:bCs/>
        </w:rPr>
        <w:t>6.合同生效、变更、暂停、解除与终止</w:t>
      </w:r>
      <w:bookmarkEnd w:id="102"/>
    </w:p>
    <w:p w14:paraId="0F7BFF94">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03" w:name="_Toc27227"/>
      <w:r>
        <w:rPr>
          <w:rFonts w:hint="eastAsia" w:ascii="宋体" w:hAnsi="宋体" w:eastAsia="宋体" w:cs="宋体"/>
          <w:sz w:val="21"/>
          <w:szCs w:val="16"/>
        </w:rPr>
        <w:t>6.1 生效</w:t>
      </w:r>
      <w:bookmarkEnd w:id="103"/>
    </w:p>
    <w:p w14:paraId="01CDFAE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除法律另有规定或者专用条件另有约定外，委托人和监理人的法定代表人或其授权代理人在协议书上签字并盖单位章后本合同生效。</w:t>
      </w:r>
    </w:p>
    <w:p w14:paraId="51C23128">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04" w:name="_Toc1635"/>
      <w:r>
        <w:rPr>
          <w:rFonts w:hint="eastAsia" w:ascii="宋体" w:hAnsi="宋体" w:eastAsia="宋体" w:cs="宋体"/>
          <w:sz w:val="21"/>
          <w:szCs w:val="16"/>
        </w:rPr>
        <w:t>6.2 变更</w:t>
      </w:r>
      <w:bookmarkEnd w:id="104"/>
    </w:p>
    <w:p w14:paraId="6235182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6.2.1 任何一方提出变更请求时，双方经协商一致后可进行变更。</w:t>
      </w:r>
    </w:p>
    <w:p w14:paraId="385CDA6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860CB6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6.2.3 合同生效后，如果实际情况发生变化使得监理人不能完成全部或部分工作时，监理人应立即通知委托人。除不可抗力外，其善后工作以及恢复服务的准备工作应为附加工作，附加工作酬 金的确定方法在专用条件中约定。监理人用于恢复服务的准备时间不应超过 28 天。 </w:t>
      </w:r>
    </w:p>
    <w:p w14:paraId="6B87CCF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6.2.4 合同签订后，遇有与工程相关的法律法规、标准颁布或修订的，双方应遵照执行。由此引起监理与相关服务的范围、时间、酬金变化的，双方应通过协商进行相应调整。</w:t>
      </w:r>
    </w:p>
    <w:p w14:paraId="193C60E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6.2.5 因非监理人原因造成工程概算投资额或建筑安装工程费增加时，正常工作酬金</w:t>
      </w:r>
      <w:bookmarkStart w:id="105" w:name="page55"/>
      <w:bookmarkEnd w:id="105"/>
      <w:r>
        <w:rPr>
          <w:rFonts w:hint="eastAsia" w:ascii="宋体" w:hAnsi="宋体" w:eastAsia="宋体" w:cs="宋体"/>
          <w:szCs w:val="21"/>
        </w:rPr>
        <w:t>应作相应调整。调整方法在专用条件中约定。</w:t>
      </w:r>
    </w:p>
    <w:p w14:paraId="3C7E2CF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6.2.6 因工程规模、监理范围的变化导致监理人的正常工作量减少时，正常工作酬金应作相应调整。调整方法在专用条件中约定。</w:t>
      </w:r>
    </w:p>
    <w:p w14:paraId="12E2CEEB">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06" w:name="_Toc32275"/>
      <w:r>
        <w:rPr>
          <w:rFonts w:hint="eastAsia" w:ascii="宋体" w:hAnsi="宋体" w:eastAsia="宋体" w:cs="宋体"/>
          <w:sz w:val="21"/>
          <w:szCs w:val="16"/>
        </w:rPr>
        <w:t>6.3 暂停与解除</w:t>
      </w:r>
      <w:bookmarkEnd w:id="106"/>
    </w:p>
    <w:p w14:paraId="57915BA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除双方协商一致可以解除本合同外，当一方无正当理由未履行本合同约定的义务时，另一方可以根据本合同约定暂停履行本合同直至解除本合同。</w:t>
      </w:r>
    </w:p>
    <w:p w14:paraId="7EB3FFD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F6100B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因解除本合同或解除监理人的部分义务导致监理人遭受的损失，除依法可以免除责任的情况外，应由委托人予以补偿，补偿金额由双方协商确定。</w:t>
      </w:r>
    </w:p>
    <w:p w14:paraId="6E74F86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解除本合同的协议必须采取书面形式，协议未达成之前，本合同仍然有效。</w:t>
      </w:r>
    </w:p>
    <w:p w14:paraId="32A76FF2">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1D3200E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 4.2 款约定的责任。</w:t>
      </w:r>
    </w:p>
    <w:p w14:paraId="6875898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6.3.3 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 </w:t>
      </w:r>
    </w:p>
    <w:p w14:paraId="0A8CD35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6.3.4 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 4.2.3 款约定的责任。</w:t>
      </w:r>
    </w:p>
    <w:p w14:paraId="416B863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6.3.5 因不可抗力致使本合同部分或全部不能履行时，一方应立即通知另一方，可暂停或解除本合同。</w:t>
      </w:r>
    </w:p>
    <w:p w14:paraId="422045C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6.3.6 本合同解除后，本合同约定的有关结算、清理、争议解决方式的条件仍然有效。</w:t>
      </w:r>
    </w:p>
    <w:p w14:paraId="70E60187">
      <w:pPr>
        <w:pStyle w:val="4"/>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07" w:name="_Toc21403"/>
      <w:r>
        <w:rPr>
          <w:rFonts w:hint="eastAsia" w:ascii="宋体" w:hAnsi="宋体" w:eastAsia="宋体" w:cs="宋体"/>
          <w:sz w:val="21"/>
          <w:szCs w:val="16"/>
        </w:rPr>
        <w:t>6.4 终止</w:t>
      </w:r>
      <w:bookmarkEnd w:id="107"/>
    </w:p>
    <w:p w14:paraId="02F25D6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以下条件全部满足时，本合同即告终止：</w:t>
      </w:r>
    </w:p>
    <w:p w14:paraId="5B9247C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bookmarkStart w:id="108" w:name="page56"/>
      <w:bookmarkEnd w:id="108"/>
      <w:r>
        <w:rPr>
          <w:rFonts w:hint="eastAsia" w:ascii="宋体" w:hAnsi="宋体" w:eastAsia="宋体" w:cs="宋体"/>
          <w:szCs w:val="21"/>
        </w:rPr>
        <w:t>（1）监理人完成本合同约定的全部工作；</w:t>
      </w:r>
    </w:p>
    <w:p w14:paraId="4C2BA042">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（2）委托人与监理人结清并支付全部酬金。</w:t>
      </w:r>
    </w:p>
    <w:p w14:paraId="7570B230">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109" w:name="_Toc32102"/>
      <w:r>
        <w:rPr>
          <w:rFonts w:hint="eastAsia" w:ascii="宋体" w:hAnsi="宋体" w:eastAsia="宋体" w:cs="宋体"/>
          <w:b/>
          <w:bCs/>
        </w:rPr>
        <w:t>7.争议解决</w:t>
      </w:r>
      <w:bookmarkEnd w:id="109"/>
    </w:p>
    <w:p w14:paraId="24608DF8">
      <w:pPr>
        <w:pStyle w:val="4"/>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10" w:name="_Toc8275"/>
      <w:r>
        <w:rPr>
          <w:rFonts w:hint="eastAsia" w:ascii="宋体" w:hAnsi="宋体" w:eastAsia="宋体" w:cs="宋体"/>
          <w:sz w:val="21"/>
          <w:szCs w:val="16"/>
        </w:rPr>
        <w:t>7.1 协商</w:t>
      </w:r>
      <w:bookmarkEnd w:id="110"/>
    </w:p>
    <w:p w14:paraId="42631E1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双方应本着诚信原则协商解决彼此间的争议。</w:t>
      </w:r>
    </w:p>
    <w:p w14:paraId="2C1B11E7">
      <w:pPr>
        <w:pStyle w:val="4"/>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11" w:name="_Toc14421"/>
      <w:r>
        <w:rPr>
          <w:rFonts w:hint="eastAsia" w:ascii="宋体" w:hAnsi="宋体" w:eastAsia="宋体" w:cs="宋体"/>
          <w:sz w:val="21"/>
          <w:szCs w:val="16"/>
        </w:rPr>
        <w:t>7.2 调解</w:t>
      </w:r>
      <w:bookmarkEnd w:id="111"/>
    </w:p>
    <w:p w14:paraId="13442A2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如果双方不能在 14 天内或双方商定的其他时间内解决本合同争议，可以将其提交给专用条件约定的或事后达成协议的调解人进行调解。</w:t>
      </w:r>
    </w:p>
    <w:p w14:paraId="6044E4A4">
      <w:pPr>
        <w:pStyle w:val="4"/>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12" w:name="_Toc2273"/>
      <w:r>
        <w:rPr>
          <w:rFonts w:hint="eastAsia" w:ascii="宋体" w:hAnsi="宋体" w:eastAsia="宋体" w:cs="宋体"/>
          <w:sz w:val="21"/>
          <w:szCs w:val="16"/>
        </w:rPr>
        <w:t>7.3 仲裁或诉讼</w:t>
      </w:r>
      <w:bookmarkEnd w:id="112"/>
    </w:p>
    <w:p w14:paraId="5464532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双方均有权不经调解直接向专用条件约定的仲裁机构申请仲裁或向有管辖权的人民法院提起诉讼。</w:t>
      </w:r>
    </w:p>
    <w:p w14:paraId="493607E5">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113" w:name="_Toc15543"/>
      <w:r>
        <w:rPr>
          <w:rFonts w:hint="eastAsia" w:ascii="宋体" w:hAnsi="宋体" w:eastAsia="宋体" w:cs="宋体"/>
          <w:b/>
          <w:bCs/>
        </w:rPr>
        <w:t>8. 其他</w:t>
      </w:r>
      <w:bookmarkEnd w:id="113"/>
    </w:p>
    <w:p w14:paraId="33FEE28A">
      <w:pPr>
        <w:pStyle w:val="4"/>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14" w:name="_Toc9015"/>
      <w:r>
        <w:rPr>
          <w:rFonts w:hint="eastAsia" w:ascii="宋体" w:hAnsi="宋体" w:eastAsia="宋体" w:cs="宋体"/>
          <w:sz w:val="21"/>
          <w:szCs w:val="16"/>
        </w:rPr>
        <w:t>8.1 外出考察费用</w:t>
      </w:r>
      <w:bookmarkEnd w:id="114"/>
    </w:p>
    <w:p w14:paraId="52C5F32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经委托人同意，监理人员外出考察发生的费用由委托人审核后支付。</w:t>
      </w:r>
    </w:p>
    <w:p w14:paraId="0C9379F1">
      <w:pPr>
        <w:pStyle w:val="4"/>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15" w:name="_Toc21086"/>
      <w:r>
        <w:rPr>
          <w:rFonts w:hint="eastAsia" w:ascii="宋体" w:hAnsi="宋体" w:eastAsia="宋体" w:cs="宋体"/>
          <w:sz w:val="21"/>
          <w:szCs w:val="16"/>
        </w:rPr>
        <w:t>8.2 检测费用</w:t>
      </w:r>
      <w:bookmarkEnd w:id="115"/>
    </w:p>
    <w:p w14:paraId="7B0A4F7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委托人要求监理人进行的材料和设备检测所发生的费用，由委托人支付，支付时间在专用条件中约定。</w:t>
      </w:r>
    </w:p>
    <w:p w14:paraId="3CC5FEA4">
      <w:pPr>
        <w:pStyle w:val="4"/>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16" w:name="_Toc8928"/>
      <w:r>
        <w:rPr>
          <w:rFonts w:hint="eastAsia" w:ascii="宋体" w:hAnsi="宋体" w:eastAsia="宋体" w:cs="宋体"/>
          <w:sz w:val="21"/>
          <w:szCs w:val="16"/>
        </w:rPr>
        <w:t>8.3 咨询费用</w:t>
      </w:r>
      <w:bookmarkEnd w:id="116"/>
    </w:p>
    <w:p w14:paraId="542B64D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经委托人同意，根据工程需要由监理人组织的相关咨询论证会以及聘请相关专家等发生的费用由委托人支付，支付时间在专用条件中约定。</w:t>
      </w:r>
    </w:p>
    <w:p w14:paraId="4ABACAFB">
      <w:pPr>
        <w:pStyle w:val="4"/>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17" w:name="_Toc17832"/>
      <w:r>
        <w:rPr>
          <w:rFonts w:hint="eastAsia" w:ascii="宋体" w:hAnsi="宋体" w:eastAsia="宋体" w:cs="宋体"/>
          <w:sz w:val="21"/>
          <w:szCs w:val="16"/>
        </w:rPr>
        <w:t>8.4 奖励</w:t>
      </w:r>
      <w:bookmarkEnd w:id="117"/>
    </w:p>
    <w:p w14:paraId="6037052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4ECDA1A8">
      <w:pPr>
        <w:pStyle w:val="4"/>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18" w:name="_Toc21972"/>
      <w:r>
        <w:rPr>
          <w:rFonts w:hint="eastAsia" w:ascii="宋体" w:hAnsi="宋体" w:eastAsia="宋体" w:cs="宋体"/>
          <w:sz w:val="21"/>
          <w:szCs w:val="16"/>
        </w:rPr>
        <w:t>8.5 守法诚信</w:t>
      </w:r>
      <w:bookmarkEnd w:id="118"/>
    </w:p>
    <w:p w14:paraId="7F25112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监理人及其工作人员不得从与实施工程有关的第三方处获得任何经济利益。</w:t>
      </w:r>
    </w:p>
    <w:p w14:paraId="2036EA29">
      <w:pPr>
        <w:pStyle w:val="4"/>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19" w:name="_Toc23412"/>
      <w:r>
        <w:rPr>
          <w:rFonts w:hint="eastAsia" w:ascii="宋体" w:hAnsi="宋体" w:eastAsia="宋体" w:cs="宋体"/>
          <w:sz w:val="21"/>
          <w:szCs w:val="16"/>
        </w:rPr>
        <w:t>8.6 保密</w:t>
      </w:r>
      <w:bookmarkEnd w:id="119"/>
    </w:p>
    <w:p w14:paraId="3D3D3C4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双方不得泄露对方申明的保密资料，亦不得泄露与实施工程有关的第三方所提供的保密资料，保密事项在专用条件中约定。</w:t>
      </w:r>
    </w:p>
    <w:p w14:paraId="03659E12">
      <w:pPr>
        <w:pStyle w:val="4"/>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20" w:name="_Toc2330"/>
      <w:r>
        <w:rPr>
          <w:rFonts w:hint="eastAsia" w:ascii="宋体" w:hAnsi="宋体" w:eastAsia="宋体" w:cs="宋体"/>
          <w:sz w:val="21"/>
          <w:szCs w:val="16"/>
        </w:rPr>
        <w:t>8.7 通知</w:t>
      </w:r>
      <w:bookmarkEnd w:id="120"/>
    </w:p>
    <w:p w14:paraId="1AB3239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本合同涉及的通知均应当采用书面形式，并在送达对方时生效，收件人应书面签收。</w:t>
      </w:r>
    </w:p>
    <w:p w14:paraId="074FE734">
      <w:pPr>
        <w:pStyle w:val="4"/>
        <w:keepNext/>
        <w:keepLines/>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16"/>
        </w:rPr>
      </w:pPr>
      <w:bookmarkStart w:id="121" w:name="_Toc25032"/>
      <w:r>
        <w:rPr>
          <w:rFonts w:hint="eastAsia" w:ascii="宋体" w:hAnsi="宋体" w:eastAsia="宋体" w:cs="宋体"/>
          <w:sz w:val="21"/>
          <w:szCs w:val="16"/>
        </w:rPr>
        <w:t>8.8 著作权</w:t>
      </w:r>
      <w:bookmarkEnd w:id="121"/>
    </w:p>
    <w:p w14:paraId="5D085F2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监理人对其编制的文件拥有著作权。</w:t>
      </w:r>
    </w:p>
    <w:p w14:paraId="67213E4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监理人可单独或与他人联合出版有关监理与相关服务的资料。除专用条件另有约定</w:t>
      </w:r>
      <w:bookmarkStart w:id="122" w:name="page57"/>
      <w:bookmarkEnd w:id="122"/>
      <w:r>
        <w:rPr>
          <w:rFonts w:hint="eastAsia" w:ascii="宋体" w:hAnsi="宋体" w:eastAsia="宋体" w:cs="宋体"/>
          <w:szCs w:val="21"/>
        </w:rPr>
        <w:t>外，如果监理人在本合同履行期间及本合同终止后两年内出版涉及本工程的有关监理与相关服务的资料，应当征得委托人的同意。</w:t>
      </w:r>
    </w:p>
    <w:p w14:paraId="37717396">
      <w:pPr>
        <w:rPr>
          <w:rFonts w:hint="eastAsia" w:ascii="宋体" w:hAnsi="宋体" w:eastAsia="宋体" w:cs="宋体"/>
          <w:b/>
          <w:bCs/>
          <w:szCs w:val="21"/>
        </w:rPr>
      </w:pPr>
      <w:r>
        <w:rPr>
          <w:rFonts w:hint="eastAsia" w:ascii="宋体" w:hAnsi="宋体" w:eastAsia="宋体" w:cs="宋体"/>
          <w:b/>
          <w:bCs/>
          <w:szCs w:val="21"/>
        </w:rPr>
        <w:br w:type="page"/>
      </w:r>
    </w:p>
    <w:p w14:paraId="1838DA63">
      <w:pPr>
        <w:keepNext w:val="0"/>
        <w:keepLines w:val="0"/>
        <w:kinsoku/>
        <w:wordWrap/>
        <w:overflowPunct/>
        <w:topLinePunct w:val="0"/>
        <w:bidi w:val="0"/>
        <w:spacing w:line="440" w:lineRule="exact"/>
        <w:jc w:val="center"/>
        <w:textAlignment w:val="auto"/>
        <w:outlineLvl w:val="1"/>
        <w:rPr>
          <w:rFonts w:hint="eastAsia" w:ascii="宋体" w:hAnsi="宋体" w:eastAsia="宋体" w:cs="宋体"/>
          <w:b/>
          <w:bCs/>
          <w:szCs w:val="21"/>
        </w:rPr>
      </w:pPr>
      <w:bookmarkStart w:id="123" w:name="_Toc6992"/>
      <w:r>
        <w:rPr>
          <w:rFonts w:hint="eastAsia" w:ascii="宋体" w:hAnsi="宋体" w:eastAsia="宋体" w:cs="宋体"/>
          <w:b/>
          <w:bCs/>
          <w:szCs w:val="21"/>
        </w:rPr>
        <w:t>第三部分  专用条件</w:t>
      </w:r>
      <w:bookmarkEnd w:id="123"/>
    </w:p>
    <w:p w14:paraId="1717B241">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124" w:name="_Toc10930"/>
      <w:r>
        <w:rPr>
          <w:rFonts w:hint="eastAsia" w:ascii="宋体" w:hAnsi="宋体" w:eastAsia="宋体" w:cs="宋体"/>
          <w:b/>
          <w:bCs/>
        </w:rPr>
        <w:t>1. 定义与解释</w:t>
      </w:r>
      <w:bookmarkEnd w:id="124"/>
      <w:r>
        <w:rPr>
          <w:rFonts w:hint="eastAsia" w:ascii="宋体" w:hAnsi="宋体" w:eastAsia="宋体" w:cs="宋体"/>
          <w:b/>
          <w:bCs/>
        </w:rPr>
        <w:t xml:space="preserve"> </w:t>
      </w:r>
    </w:p>
    <w:p w14:paraId="067B593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rPr>
      </w:pPr>
      <w:r>
        <w:rPr>
          <w:rFonts w:hint="eastAsia" w:ascii="宋体" w:hAnsi="宋体" w:eastAsia="宋体" w:cs="宋体"/>
          <w:b/>
          <w:bCs/>
          <w:szCs w:val="21"/>
        </w:rPr>
        <w:t xml:space="preserve">1.2 解释 </w:t>
      </w:r>
    </w:p>
    <w:p w14:paraId="535C31D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1.2.1 本合同文件除使用中文外，还可用</w:t>
      </w:r>
      <w:r>
        <w:rPr>
          <w:rFonts w:hint="eastAsia" w:ascii="宋体" w:hAnsi="宋体" w:eastAsia="宋体" w:cs="宋体"/>
          <w:szCs w:val="21"/>
          <w:u w:val="single"/>
        </w:rPr>
        <w:t xml:space="preserve"> / </w:t>
      </w:r>
      <w:r>
        <w:rPr>
          <w:rFonts w:hint="eastAsia" w:ascii="宋体" w:hAnsi="宋体" w:eastAsia="宋体" w:cs="宋体"/>
          <w:szCs w:val="21"/>
        </w:rPr>
        <w:t xml:space="preserve">。 </w:t>
      </w:r>
    </w:p>
    <w:p w14:paraId="46201E1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1.2.2 约定本合同文件的解释顺序为：</w:t>
      </w:r>
      <w:r>
        <w:rPr>
          <w:rFonts w:hint="eastAsia" w:ascii="宋体" w:hAnsi="宋体" w:eastAsia="宋体" w:cs="宋体"/>
          <w:szCs w:val="21"/>
          <w:u w:val="single"/>
        </w:rPr>
        <w:t xml:space="preserve">按通用条件执行除执行通用条件外，具体包括但不限于下述内容： </w:t>
      </w:r>
    </w:p>
    <w:p w14:paraId="41BAE89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1）委托人与第三方签订的正式合同、协议及附件。 </w:t>
      </w:r>
    </w:p>
    <w:p w14:paraId="054B352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2）建设批文及相关资料。 </w:t>
      </w:r>
    </w:p>
    <w:p w14:paraId="44E1F99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3）合同指定的标准图纸、技术规范、质量检验评定标准、试验规程等。 </w:t>
      </w:r>
    </w:p>
    <w:p w14:paraId="44EC23E2">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4）国家、住房和城乡建设部、项目所在地（河南省）颁发的监理法规等。 </w:t>
      </w:r>
    </w:p>
    <w:p w14:paraId="4573E571">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125" w:name="_Toc29836"/>
      <w:r>
        <w:rPr>
          <w:rFonts w:hint="eastAsia" w:ascii="宋体" w:hAnsi="宋体" w:eastAsia="宋体" w:cs="宋体"/>
          <w:b/>
          <w:bCs/>
        </w:rPr>
        <w:t>2. 监理人义务</w:t>
      </w:r>
      <w:bookmarkEnd w:id="125"/>
      <w:r>
        <w:rPr>
          <w:rFonts w:hint="eastAsia" w:ascii="宋体" w:hAnsi="宋体" w:eastAsia="宋体" w:cs="宋体"/>
          <w:b/>
          <w:bCs/>
        </w:rPr>
        <w:t xml:space="preserve"> </w:t>
      </w:r>
    </w:p>
    <w:p w14:paraId="6CF80E2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 xml:space="preserve">2.1 监理的范围和内容 </w:t>
      </w:r>
    </w:p>
    <w:p w14:paraId="708B3C82">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2.1.1 监理范围包括：</w:t>
      </w:r>
      <w:r>
        <w:rPr>
          <w:rFonts w:hint="eastAsia" w:ascii="宋体" w:hAnsi="宋体" w:eastAsia="宋体" w:cs="宋体"/>
          <w:szCs w:val="21"/>
          <w:u w:val="single"/>
        </w:rPr>
        <w:t>本工程监理业务包括标段范围内土建、安装及其他附属工程等施工阶段 全过程监理，施工阶段质量、进度、投资控制、合同管理和组织协调，安全、文明施工监控，具体包括但不限于下述内容</w:t>
      </w:r>
      <w:r>
        <w:rPr>
          <w:rFonts w:hint="eastAsia" w:ascii="宋体" w:hAnsi="宋体" w:eastAsia="宋体" w:cs="宋体"/>
          <w:szCs w:val="21"/>
        </w:rPr>
        <w:t xml:space="preserve">： </w:t>
      </w:r>
    </w:p>
    <w:p w14:paraId="63E41DC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p>
    <w:p w14:paraId="1C7A40E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 监理工作内容还包括： </w:t>
      </w:r>
    </w:p>
    <w:p w14:paraId="5607F26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除执行通用条件外，在保修内对承包人施工的工程项目进行缺陷调查、缺陷修补工作，提供监理服务。具体包括但不限于下述内容： </w:t>
      </w:r>
    </w:p>
    <w:p w14:paraId="54D75A8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u w:val="single"/>
        </w:rPr>
      </w:pPr>
      <w:r>
        <w:rPr>
          <w:rFonts w:hint="eastAsia" w:ascii="宋体" w:hAnsi="宋体" w:eastAsia="宋体" w:cs="宋体"/>
          <w:b/>
          <w:bCs/>
          <w:szCs w:val="21"/>
          <w:u w:val="single"/>
        </w:rPr>
        <w:t xml:space="preserve">2.1.2.1 设计方面 </w:t>
      </w:r>
    </w:p>
    <w:p w14:paraId="043BDA3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2.1.2.1.1 熟悉工程设计，理解设计意图，设计图纸及文件（包括设计说明、技术要求、设计变更及设计修改通知等），经确认后按施工承包合同规定期限及时向施工承包人提出要求，发现问题应及时与设计单位联系解决，重大问题应书面报告委托人。 </w:t>
      </w:r>
    </w:p>
    <w:p w14:paraId="30C6EC3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2.1.2.1.2 审核设计图纸，满足设计规范要求。结合施工现场出现的情况，保证监督管理施工质量。提出设计优化建议。 </w:t>
      </w:r>
    </w:p>
    <w:p w14:paraId="7A8ACD9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2.1.2.1.3 组织设计单位进行设计交底。协助委托人组织设计单位、施工承包单位等对设计施工中的重大技术问题和设计优化进行专题讨论。 </w:t>
      </w:r>
    </w:p>
    <w:p w14:paraId="26CC0DE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2.1.2.1.4 审查施工承包单位对设计图纸及文件的意见和建议，会同设计单位进行研究，并尽快给予答复。 </w:t>
      </w:r>
    </w:p>
    <w:p w14:paraId="290B76F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2.1.2.1.5 保存、管理所收到的设计图纸和文件及相关资料。其它相关业务。 </w:t>
      </w:r>
    </w:p>
    <w:p w14:paraId="1E6F0AA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u w:val="single"/>
        </w:rPr>
      </w:pPr>
      <w:r>
        <w:rPr>
          <w:rFonts w:hint="eastAsia" w:ascii="宋体" w:hAnsi="宋体" w:eastAsia="宋体" w:cs="宋体"/>
          <w:b/>
          <w:bCs/>
          <w:szCs w:val="21"/>
          <w:u w:val="single"/>
        </w:rPr>
        <w:t xml:space="preserve">2.1.2.2 采购方面 </w:t>
      </w:r>
    </w:p>
    <w:p w14:paraId="65DFDC8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2.1.2.2.1 协助委托人对材料、设备、专业队伍进行考察、询价、采购、封样、进场、检查等。 按施工单位采购供应进度计划单，随时检验进场主要材料的合格证。 </w:t>
      </w:r>
    </w:p>
    <w:p w14:paraId="7F7F780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2.1.2.2.2 其他相关业务。 </w:t>
      </w:r>
    </w:p>
    <w:p w14:paraId="1BF0E70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2.1.2.3 施工合同管理 </w:t>
      </w:r>
    </w:p>
    <w:p w14:paraId="1B1D92A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2.1.2.3.1 全面管理各类施工承包合同，协助委托人起草与本工程项目有关的各类合同，协助委托人进行合同谈判；对合同跟踪管理，对各方合同执行情况进行检查；协助委托人处理与本项目有关的索赔及合同纠纷事宜；向委托人递交有关合同管理的报表及报告；审查施工承包单位选择的分包单位资质及分包项目，报委托人单位批准。定期检查和清理施工承包单位非法分包的项目及分包单位，制止工程转包行为。 </w:t>
      </w:r>
    </w:p>
    <w:p w14:paraId="741494C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2.1.2.3.2 检查各施工承包单位的施工准备工作，审查施工承包单位提交的开工申请报告，并在检查与审查合格后，报委托人批准后，签发开工令。检查监督施工承包单位严格执行审批的施工总体平面布置，制止其违背施工总平面布置要求的场地和施工布置行为。 </w:t>
      </w:r>
    </w:p>
    <w:p w14:paraId="180C6C1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2.1.2.3.3 审批各施工承包单位提交的施工组织设计、施工技术措施、作业规程、工艺试验成果、使用的原材料及试验成果等，答复施工承包单位提出的建议和意见。 </w:t>
      </w:r>
    </w:p>
    <w:p w14:paraId="589F80D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u w:val="single"/>
        </w:rPr>
      </w:pPr>
      <w:r>
        <w:rPr>
          <w:rFonts w:hint="eastAsia" w:ascii="宋体" w:hAnsi="宋体" w:eastAsia="宋体" w:cs="宋体"/>
          <w:b/>
          <w:bCs/>
          <w:szCs w:val="21"/>
          <w:u w:val="single"/>
        </w:rPr>
        <w:t xml:space="preserve">2.1.2.4 工程进度控制 </w:t>
      </w:r>
    </w:p>
    <w:p w14:paraId="4D50252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工程进度控制工作主要应从进度计划的编制及个控制目标的确定、进度计划实施的检查监督与协调、进度的统计分析与进度计划的调整等几方面采取相应的措施进行控制。 </w:t>
      </w:r>
    </w:p>
    <w:p w14:paraId="3BCA13A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u w:val="single"/>
        </w:rPr>
      </w:pPr>
      <w:r>
        <w:rPr>
          <w:rFonts w:hint="eastAsia" w:ascii="宋体" w:hAnsi="宋体" w:eastAsia="宋体" w:cs="宋体"/>
          <w:b/>
          <w:bCs/>
          <w:szCs w:val="21"/>
          <w:u w:val="single"/>
        </w:rPr>
        <w:t xml:space="preserve">2.1.2.5 施工质量控制 </w:t>
      </w:r>
    </w:p>
    <w:p w14:paraId="2580C48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本工程的质量控制，必须以单位工程和工序进程为基础，对工程质量进度程序化的、量化的全过程全面控制。主要内容及要求如下： </w:t>
      </w:r>
    </w:p>
    <w:p w14:paraId="20A8CAE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2.1.2.5.1 对监理工程项目的构成进行划分（单项工程、单位工程、分部分项工程等），并按施工程序明确质量控制工作流程，分析和确定质量控制重点及对其应采取的监理措施。制定质量控制的各项实施细则、规定及其它管理制度。 </w:t>
      </w:r>
    </w:p>
    <w:p w14:paraId="1B57E89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2.1.2.5.2 根据委托人与施工承包单位或材料供应商签定的工程承包合同和材料供应合同中的有关要求，督促、检查施工承包单位或材料供应商严格按照中华人民共和国及河南省有关技术规范、 标准规程以及设计图纸文件的要求，进行施工，对违反上述规范、规程、要求者，责令其改正，必要时签发工程暂停指令。向违规单位签发监理通知后，还应监督其及时进行整改，直至达到合同约定的质量标准为止。审核签发现场联系单。 </w:t>
      </w:r>
    </w:p>
    <w:p w14:paraId="777DFE2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2.1.2.5.3 检查监督施工承包单位建立健全质量保证体系，并能切实发挥作用，督促施工承包单位进行全面质量管理工作。审查与确认施工承包单位或材料设备供应商及其选择的分包单位资质及质保体系。 </w:t>
      </w:r>
    </w:p>
    <w:p w14:paraId="0703B40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2.1.2.5.4 组织向施工承包单位移交合同有关的测量控制网点；审查施工承包单位提交的测量实施报告，其内容应包括测量人员资质、测量仪器及其他设备配备、测量工作规程、合同项目施测方案、测点保护等；审查施工承包单位引伸的测量控制网点测量成果及关键部位施工测量放样放点成果，并进行必要的复测。 </w:t>
      </w:r>
    </w:p>
    <w:p w14:paraId="4176CC5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2.1.2.5.5 审查批准施工承包单位自建的试验室或委托试验的试验室，审查试验室内容主要有试验室资质、设备和仪器的计量论证文件、试验检测设备及其他设备的配备、试验室人员持证上岗情况等。 </w:t>
      </w:r>
    </w:p>
    <w:p w14:paraId="12E8AA5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2.1.2.5.6 审查进场工程材料的质量证明文件及施工承包单位按有关规定进行的试验检测结果。</w:t>
      </w:r>
    </w:p>
    <w:p w14:paraId="6B68F1B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监理人若发现有不实之处，有权责成施工承包单位或材料设备供应商（并指定检验单位）对其质量进行再检验，检测费用由施工承包单位或材料设备供应商支付，防止不合格的材料、构配件及设备等用于工程。不符合合同及国家有关规定的材料及半成品不得投入施工，并应限期清理出场。</w:t>
      </w:r>
    </w:p>
    <w:p w14:paraId="60294C8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2.1.2.5.7 检查施工前的其它各项准备工作是否完备（如图纸供应，水电供应，道路，场地，施工组织，施工机械及其它环境影响因素），尽力避免可能影响施工质量的问题发生。</w:t>
      </w:r>
    </w:p>
    <w:p w14:paraId="59D84B3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2.1.2.5.8 对施工质量进行全过程全面的监督管理，在加强现场管理工作的前提下对重要部位和关键工序应采取“旁站监理”的方式（或 24 小时值班制度），对发现的可能影响施工质量问题及时指令施工承包单位采取措施解决，必要时发出停工、返工指令。</w:t>
      </w:r>
    </w:p>
    <w:p w14:paraId="565FA75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2.1.2.5.9 充分利用监理的质量检查签证的控制手段，对工程项目及时进行逐层次的逐项的（按单项工程、单位工程、分部分项工程等区分）施工质量认证和质量评定工作。及时组织进行隐蔽工程、重要部位、重要工序的质量检查验收和签证工作及分部分项工程的检查验收工作。</w:t>
      </w:r>
    </w:p>
    <w:p w14:paraId="64F8CDB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2.1.2.5.10 做好监理日志，随时记录施工中有关质量方面的问题，并对发生质量问题的施工现场及时拍照或录相。组织并主持定期或不定期的质量分析会，分析、通报施工质量情况，协调有关单位间的施工活动以消除影响质量的各种外部干扰因素。 </w:t>
      </w:r>
    </w:p>
    <w:p w14:paraId="47AABD6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2.1.2.5.11 审核施工承包单位提交的质量事故报告；对质量事故进行调查、提出处理意见，并监督质量事故的处理。 </w:t>
      </w:r>
    </w:p>
    <w:p w14:paraId="6D50987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2.1.2.5.12 监理人必须建立自身的饿质量监控体系，配备监理工程师负责质量控制工作。 </w:t>
      </w:r>
    </w:p>
    <w:p w14:paraId="0C8D45B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2.1.2.5.13 对工程质量进行经常性的分析，并定期提出工程质量报告和按规定格式编制工程质量统计报表（年、季、月）报委托人单位。 </w:t>
      </w:r>
    </w:p>
    <w:p w14:paraId="1C09F66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u w:val="single"/>
        </w:rPr>
      </w:pPr>
      <w:r>
        <w:rPr>
          <w:rFonts w:hint="eastAsia" w:ascii="宋体" w:hAnsi="宋体" w:eastAsia="宋体" w:cs="宋体"/>
          <w:b/>
          <w:bCs/>
          <w:szCs w:val="21"/>
          <w:u w:val="single"/>
        </w:rPr>
        <w:t xml:space="preserve">2.1.2.6 工程造价控制 </w:t>
      </w:r>
    </w:p>
    <w:p w14:paraId="55F6DF2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2.1.2.6.1 通过对工程计量的审核以及必要而抽查等控制手段控制工程计量的正确性和合理性。 </w:t>
      </w:r>
    </w:p>
    <w:p w14:paraId="75E4270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2.1.2.6.2 审核施工承包单位上报的申请结算工程量及工程费用等，并签发支付凭证。 </w:t>
      </w:r>
    </w:p>
    <w:p w14:paraId="1F4E64B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2.1.2.6.3 受理变更或索赔申请，进行调查和谈判，并提出处理意见依据委托人授权审核各类工程变更（合同变更及设计修改，设计变更等），并提出处理意见，报委托人批准后下达变更指令。</w:t>
      </w:r>
    </w:p>
    <w:p w14:paraId="5DC6C86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2.1.2.6.4 对合同费用支付与已完工程量，工程形象进度综合分析。 </w:t>
      </w:r>
    </w:p>
    <w:p w14:paraId="61A2FB52">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2.1.2.6.5 编制工程款支付台帐和相关报表。 </w:t>
      </w:r>
    </w:p>
    <w:p w14:paraId="26DB7DB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2.1.2.6 做好建立过程中的技术管理及技术服务工作，对监理工程项目的施工技术、工艺，材料，设备等提前进行研究，对施工技术、改进施工工艺提出指导性意见，对施工中可能出现的技术、质量问题有所预见并提出预控措施，用以优化设计和指导施工。 </w:t>
      </w:r>
    </w:p>
    <w:p w14:paraId="5E4EB0C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u w:val="single"/>
        </w:rPr>
      </w:pPr>
      <w:r>
        <w:rPr>
          <w:rFonts w:hint="eastAsia" w:ascii="宋体" w:hAnsi="宋体" w:eastAsia="宋体" w:cs="宋体"/>
          <w:b/>
          <w:bCs/>
          <w:szCs w:val="21"/>
          <w:u w:val="single"/>
        </w:rPr>
        <w:t xml:space="preserve">2.1.2.7 安全施工监督 </w:t>
      </w:r>
    </w:p>
    <w:p w14:paraId="0CED888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2.1.2.7.1 检查督促施工承包单位监理健全安全管理工作体系和安全管理制度；督促检查施工承包单位认真执行国家有关部门颁发的安全生产法规和规定。 </w:t>
      </w:r>
    </w:p>
    <w:p w14:paraId="71417C1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2.1.2.7.2 审查批准施工承包单位对工程施工中的重大安全问题制定的安全技术措施和防护措施。 </w:t>
      </w:r>
    </w:p>
    <w:p w14:paraId="24B8B02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2.1.2.7.3 对施工生产及安全设施进行经常性的检查监督，对违反安全生产规定的施工及时令整改。 </w:t>
      </w:r>
    </w:p>
    <w:p w14:paraId="5C59FD2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2.1.2.7.4 按照委托人的统一部署检查施工承包单位的工程防汛措施并监督实施。 </w:t>
      </w:r>
    </w:p>
    <w:p w14:paraId="0312065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2.1.2.7.5 检查施工承包单位在劳动保护及环境保护方面是否符合合同规定和国家标准。 </w:t>
      </w:r>
    </w:p>
    <w:p w14:paraId="7A1D5DD2">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2.1.2.7.6 定期组织安全生产大检查活动。协助委托人做好各合同项目间的安全生产协调工作。 </w:t>
      </w:r>
    </w:p>
    <w:p w14:paraId="73A3646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2.1.2.7.7 参加对安全事故进行的调查分析、审查施工承包单位的安全事故报告及安全报表、监督施工承包单位对安全事故的处理。 </w:t>
      </w:r>
    </w:p>
    <w:p w14:paraId="5FD57CF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2.1.2.7.8 定期（每月）向委托人单位报告安全生产情况，并按规定编制监督工程项目的报告。 </w:t>
      </w:r>
    </w:p>
    <w:p w14:paraId="23F12CA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2.1.2.7.9 文明施工及环境保护监督。 </w:t>
      </w:r>
    </w:p>
    <w:p w14:paraId="799947A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2.1.2.7.10 进行监理工程项目内的组织协调工作，编发施工协调会议纪要。 </w:t>
      </w:r>
    </w:p>
    <w:p w14:paraId="31C73C7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u w:val="single"/>
        </w:rPr>
      </w:pPr>
      <w:r>
        <w:rPr>
          <w:rFonts w:hint="eastAsia" w:ascii="宋体" w:hAnsi="宋体" w:eastAsia="宋体" w:cs="宋体"/>
          <w:b/>
          <w:bCs/>
          <w:szCs w:val="21"/>
          <w:u w:val="single"/>
        </w:rPr>
        <w:t xml:space="preserve">2.1.2.8 定期的和不定期的及时向委托人报告工程实施进展情况及监理工作情况，按期编制监理月报、季度和年度，以及有关工程进度、质量、造价、安全等方面的专题报告。 </w:t>
      </w:r>
    </w:p>
    <w:p w14:paraId="1B3681A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监理月报、季报、年报至少应包括以下主要内容： </w:t>
      </w:r>
    </w:p>
    <w:p w14:paraId="6B28EFD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2.1.2.8.1 工程进度情况（已完工程形象及工程量；进度计划执行情况；季度分析及措施；下月计划要点等）。 </w:t>
      </w:r>
    </w:p>
    <w:p w14:paraId="3A78C94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2.1.2.8.2 施工质量情况（分专业分项目的质量检测及试验成果汇总；质量检查签证汇总；质量分析与评价，改进措施）。 </w:t>
      </w:r>
    </w:p>
    <w:p w14:paraId="29A3D04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2.1.2.8.3 进场施工材料、机械设备及劳动动态；施工组织情况及问题。 </w:t>
      </w:r>
    </w:p>
    <w:p w14:paraId="0201232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2.1.2.8.4 合同表更和工程变更情况：索赔事项。 </w:t>
      </w:r>
    </w:p>
    <w:p w14:paraId="320D987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2.1.2.8.5 工程支付情况及合同费用分析。 </w:t>
      </w:r>
    </w:p>
    <w:p w14:paraId="04E6459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2.1.2.8.6 施工安全。“大事记”及其他。 </w:t>
      </w:r>
    </w:p>
    <w:p w14:paraId="46F13B2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u w:val="single"/>
        </w:rPr>
      </w:pPr>
      <w:r>
        <w:rPr>
          <w:rFonts w:hint="eastAsia" w:ascii="宋体" w:hAnsi="宋体" w:eastAsia="宋体" w:cs="宋体"/>
          <w:b/>
          <w:bCs/>
          <w:szCs w:val="21"/>
          <w:u w:val="single"/>
        </w:rPr>
        <w:t xml:space="preserve">2.1.2.9 编写监理工程项目的“监理总结报告”，“大事记”。 </w:t>
      </w:r>
    </w:p>
    <w:p w14:paraId="78108C7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b/>
          <w:bCs/>
          <w:szCs w:val="21"/>
          <w:u w:val="single"/>
        </w:rPr>
        <w:t>2.1.2.10 建立完</w:t>
      </w:r>
      <w:r>
        <w:rPr>
          <w:rFonts w:hint="eastAsia" w:ascii="宋体" w:hAnsi="宋体" w:eastAsia="宋体" w:cs="宋体"/>
          <w:szCs w:val="21"/>
          <w:u w:val="single"/>
        </w:rPr>
        <w:t xml:space="preserve">善的信息、档案管理体系，监理人并定期、及时（涉及工程安全、生产安全、质量事故的照片、音像记录资料等应及时提交）把与工程建设有关的照片、资料、报告及音像制品等进行统一归档，并移交委托人。 </w:t>
      </w:r>
    </w:p>
    <w:p w14:paraId="3EB1BE12">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b/>
          <w:bCs/>
          <w:szCs w:val="21"/>
          <w:u w:val="single"/>
        </w:rPr>
        <w:t>2.1.2.11 免费</w:t>
      </w:r>
      <w:r>
        <w:rPr>
          <w:rFonts w:hint="eastAsia" w:ascii="宋体" w:hAnsi="宋体" w:eastAsia="宋体" w:cs="宋体"/>
          <w:szCs w:val="21"/>
          <w:u w:val="single"/>
        </w:rPr>
        <w:t xml:space="preserve">提供专家咨询，免费提供重大疑难问题的技术咨询及处理措施。 </w:t>
      </w:r>
    </w:p>
    <w:p w14:paraId="2258D692">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u w:val="single"/>
        </w:rPr>
      </w:pPr>
      <w:r>
        <w:rPr>
          <w:rFonts w:hint="eastAsia" w:ascii="宋体" w:hAnsi="宋体" w:eastAsia="宋体" w:cs="宋体"/>
          <w:b/>
          <w:bCs/>
          <w:szCs w:val="21"/>
          <w:u w:val="single"/>
        </w:rPr>
        <w:t xml:space="preserve">2.1.2.12 项目协调 </w:t>
      </w:r>
    </w:p>
    <w:p w14:paraId="29D3723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2.1.2.12.1 负责协调工程建设中各参建单位之间的关系（包括勘察单位、设计单位、施工单位、监理人、委托人）。 </w:t>
      </w:r>
    </w:p>
    <w:p w14:paraId="1D1527C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2.1.2.12.2 负责组织、协调与委托人或工程建设相关的各种外部关系（包括村民、当地政府、当地建设行政主管部门、当地质量监督部门）。 </w:t>
      </w:r>
    </w:p>
    <w:p w14:paraId="3ADE7D6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2.1.2.12.3 监理人须自行负责向政府主管部门申领办事一切手续，并获得所有为承担本工程项目监理之证明等全部文件，费用自理。 </w:t>
      </w:r>
    </w:p>
    <w:p w14:paraId="74A45CF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2.1.2.12.4 本招标范围内的所有监理事项由监理人全面负责，若监理人不具备某一个专项监理资质的，必须委托具有相应资质的监理公司进行监理，但须报委托人并经认可，其发生的监理费用由监理人自行承担，与委托人无关。 </w:t>
      </w:r>
    </w:p>
    <w:p w14:paraId="74EC624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2.1.2.12.5、配合委托人的竣工验收、工程结算和工程移交工作。 </w:t>
      </w:r>
    </w:p>
    <w:p w14:paraId="4B7A891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2.1.2.12.6、协助委托人办理相关手续。 </w:t>
      </w:r>
    </w:p>
    <w:p w14:paraId="5D44FD7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rPr>
      </w:pPr>
      <w:r>
        <w:rPr>
          <w:rFonts w:hint="eastAsia" w:ascii="宋体" w:hAnsi="宋体" w:eastAsia="宋体" w:cs="宋体"/>
          <w:b/>
          <w:bCs/>
          <w:szCs w:val="21"/>
        </w:rPr>
        <w:t xml:space="preserve">2.2 监理与相关服务依据 </w:t>
      </w:r>
    </w:p>
    <w:p w14:paraId="019A9CC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2.2.1 监理依据包括： </w:t>
      </w:r>
    </w:p>
    <w:p w14:paraId="46E1245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1、本建设工程委托监理合同、《建设工程监理规范》； </w:t>
      </w:r>
    </w:p>
    <w:p w14:paraId="5F35057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2、国家和地方、行业现行的有关工程建设及监理的法律、法规、规范和标准；地方政府批准的有关规定、规划要点及标准，工程建设有关报批手续 </w:t>
      </w:r>
    </w:p>
    <w:p w14:paraId="6BC60C6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3、本工程的设计施工图、设计变更、设计通知等设计文件； </w:t>
      </w:r>
    </w:p>
    <w:p w14:paraId="4822624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4、建设工程施工合同、采购或安装工程合同等委托人就本工程发包或委托的合同； </w:t>
      </w:r>
    </w:p>
    <w:p w14:paraId="01BC7E5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5、与本工程设计、施工、安装、检验、验收、结算等有关的现行规范、规程、技术标准、管理部门文件等。当有多种相关的工程质量合格标准时，应以严格的标准为本工程的验收依据。 </w:t>
      </w:r>
    </w:p>
    <w:p w14:paraId="26BB94B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6、委托人提供的与本工程有关的上级行政管理部门文件； </w:t>
      </w:r>
    </w:p>
    <w:p w14:paraId="64D5136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7、委托人函件、经委托人的常驻代表或委托人法定代表人书面签章确认的相关会议纪要。 1、委托人与第三方签订的正式合同、协议及附件；2、建设批文及相关资料；3、合同指定的标准图纸、技术规范、质量检验评定标准、试验规程等；4、国家、住房和城乡建设部、项目所在地（河南省）颁发的监理法规等。 </w:t>
      </w:r>
    </w:p>
    <w:p w14:paraId="3D4FE77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2.2.2 相关服务依据包括： 按招标文件和外部协调工作 。 </w:t>
      </w:r>
    </w:p>
    <w:p w14:paraId="01BDFC6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rPr>
      </w:pPr>
      <w:r>
        <w:rPr>
          <w:rFonts w:hint="eastAsia" w:ascii="宋体" w:hAnsi="宋体" w:eastAsia="宋体" w:cs="宋体"/>
          <w:b/>
          <w:bCs/>
          <w:szCs w:val="21"/>
        </w:rPr>
        <w:t xml:space="preserve">2.3 项目监理机构和人员 </w:t>
      </w:r>
    </w:p>
    <w:p w14:paraId="0EB83EF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lang w:eastAsia="zh-CN"/>
        </w:rPr>
      </w:pPr>
      <w:r>
        <w:rPr>
          <w:rFonts w:hint="eastAsia" w:ascii="宋体" w:hAnsi="宋体" w:eastAsia="宋体" w:cs="宋体"/>
          <w:szCs w:val="21"/>
          <w:lang w:eastAsia="zh-CN"/>
        </w:rPr>
        <w:t>2.3.1 监理人应组建满足工作需要的项目监理机构，配备必要的检测设备。项目监理机构的主要人员应具有相应的资格条件。</w:t>
      </w:r>
    </w:p>
    <w:p w14:paraId="44FAD82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lang w:eastAsia="zh-CN"/>
        </w:rPr>
      </w:pPr>
      <w:r>
        <w:rPr>
          <w:rFonts w:hint="eastAsia" w:ascii="宋体" w:hAnsi="宋体" w:eastAsia="宋体" w:cs="宋体"/>
          <w:szCs w:val="21"/>
          <w:lang w:eastAsia="zh-CN"/>
        </w:rPr>
        <w:t>2.3.2本合同履行过程中，总监理工程师及重要岗位监理人员应保持相对稳定，以保证监理工作正常进行。</w:t>
      </w:r>
    </w:p>
    <w:p w14:paraId="322E303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lang w:eastAsia="zh-CN"/>
        </w:rPr>
      </w:pPr>
      <w:r>
        <w:rPr>
          <w:rFonts w:hint="eastAsia" w:ascii="宋体" w:hAnsi="宋体" w:eastAsia="宋体" w:cs="宋体"/>
          <w:szCs w:val="21"/>
          <w:lang w:eastAsia="zh-CN"/>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693A75C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lang w:eastAsia="zh-CN"/>
        </w:rPr>
      </w:pPr>
      <w:r>
        <w:rPr>
          <w:rFonts w:hint="eastAsia" w:ascii="宋体" w:hAnsi="宋体" w:eastAsia="宋体" w:cs="宋体"/>
          <w:szCs w:val="21"/>
          <w:lang w:eastAsia="zh-CN"/>
        </w:rPr>
        <w:t>2.3.4 监理人应及时更换有下列情形之一的监理人员：</w:t>
      </w:r>
    </w:p>
    <w:p w14:paraId="72DD20B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lang w:eastAsia="zh-CN"/>
        </w:rPr>
      </w:pPr>
      <w:r>
        <w:rPr>
          <w:rFonts w:hint="eastAsia" w:ascii="宋体" w:hAnsi="宋体" w:eastAsia="宋体" w:cs="宋体"/>
          <w:szCs w:val="21"/>
          <w:lang w:eastAsia="zh-CN"/>
        </w:rPr>
        <w:t>（1）严重过失行为的；</w:t>
      </w:r>
    </w:p>
    <w:p w14:paraId="4F5D6EC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lang w:eastAsia="zh-CN"/>
        </w:rPr>
      </w:pPr>
      <w:r>
        <w:rPr>
          <w:rFonts w:hint="eastAsia" w:ascii="宋体" w:hAnsi="宋体" w:eastAsia="宋体" w:cs="宋体"/>
          <w:szCs w:val="21"/>
          <w:lang w:eastAsia="zh-CN"/>
        </w:rPr>
        <w:t>（2）有违法行为不能履行职责的；</w:t>
      </w:r>
    </w:p>
    <w:p w14:paraId="2C2744E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lang w:eastAsia="zh-CN"/>
        </w:rPr>
      </w:pPr>
      <w:r>
        <w:rPr>
          <w:rFonts w:hint="eastAsia" w:ascii="宋体" w:hAnsi="宋体" w:eastAsia="宋体" w:cs="宋体"/>
          <w:szCs w:val="21"/>
          <w:lang w:eastAsia="zh-CN"/>
        </w:rPr>
        <w:t>（3）涉嫌犯罪的；</w:t>
      </w:r>
    </w:p>
    <w:p w14:paraId="31B4A2D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lang w:eastAsia="zh-CN"/>
        </w:rPr>
      </w:pPr>
      <w:r>
        <w:rPr>
          <w:rFonts w:hint="eastAsia" w:ascii="宋体" w:hAnsi="宋体" w:eastAsia="宋体" w:cs="宋体"/>
          <w:szCs w:val="21"/>
          <w:lang w:eastAsia="zh-CN"/>
        </w:rPr>
        <w:t>（4）不能胜任岗位职责的；</w:t>
      </w:r>
    </w:p>
    <w:p w14:paraId="305151E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lang w:eastAsia="zh-CN"/>
        </w:rPr>
      </w:pPr>
      <w:r>
        <w:rPr>
          <w:rFonts w:hint="eastAsia" w:ascii="宋体" w:hAnsi="宋体" w:eastAsia="宋体" w:cs="宋体"/>
          <w:szCs w:val="21"/>
          <w:lang w:eastAsia="zh-CN"/>
        </w:rPr>
        <w:t>（5）严重违反职业道德的；</w:t>
      </w:r>
    </w:p>
    <w:p w14:paraId="54B51E2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lang w:eastAsia="zh-CN"/>
        </w:rPr>
      </w:pPr>
      <w:r>
        <w:rPr>
          <w:rFonts w:hint="eastAsia" w:ascii="宋体" w:hAnsi="宋体" w:eastAsia="宋体" w:cs="宋体"/>
          <w:szCs w:val="21"/>
          <w:lang w:eastAsia="zh-CN"/>
        </w:rPr>
        <w:t>（6）专用条件约定的其他情形。</w:t>
      </w:r>
    </w:p>
    <w:p w14:paraId="798B62F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lang w:eastAsia="zh-CN"/>
        </w:rPr>
      </w:pPr>
      <w:r>
        <w:rPr>
          <w:rFonts w:hint="eastAsia" w:ascii="宋体" w:hAnsi="宋体" w:eastAsia="宋体" w:cs="宋体"/>
          <w:szCs w:val="21"/>
          <w:lang w:eastAsia="zh-CN"/>
        </w:rPr>
        <w:t>2.3.5 委托人可要求监理人更换不能胜任本职工作的项目监理机构人员。</w:t>
      </w:r>
    </w:p>
    <w:p w14:paraId="3C73F84C">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rPr>
      </w:pPr>
      <w:r>
        <w:rPr>
          <w:rFonts w:hint="eastAsia" w:ascii="宋体" w:hAnsi="宋体" w:eastAsia="宋体" w:cs="宋体"/>
          <w:b/>
          <w:bCs/>
          <w:szCs w:val="21"/>
        </w:rPr>
        <w:t xml:space="preserve">2.4 履行职责 </w:t>
      </w:r>
    </w:p>
    <w:p w14:paraId="580E393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2.4.3 对监理人的授权范围：</w:t>
      </w:r>
    </w:p>
    <w:p w14:paraId="37DBB86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highlight w:val="none"/>
        </w:rPr>
      </w:pPr>
      <w:r>
        <w:rPr>
          <w:rFonts w:hint="eastAsia" w:ascii="宋体" w:hAnsi="宋体" w:eastAsia="宋体" w:cs="宋体"/>
          <w:szCs w:val="21"/>
        </w:rPr>
        <w:t>对监理人的授权范围：</w:t>
      </w:r>
      <w:r>
        <w:rPr>
          <w:rFonts w:hint="eastAsia" w:ascii="宋体" w:hAnsi="宋体" w:eastAsia="宋体" w:cs="宋体"/>
          <w:szCs w:val="21"/>
          <w:u w:val="single"/>
        </w:rPr>
        <w:t>执行第二部分通用条件 2.1.2 条和第三部分专用条件 2.1.2 条。按《建设 工程监理规范》(GB/T50319-2013)行使权限，引发投资增加，工期延长和图纸更改等工程变更指令和暂停工程施工指令的下达权都须事先经委托人同意（均需以书面形式报委托人批准）。在涉及工程延</w:t>
      </w:r>
      <w:r>
        <w:rPr>
          <w:rFonts w:hint="eastAsia" w:ascii="宋体" w:hAnsi="宋体" w:eastAsia="宋体" w:cs="宋体"/>
          <w:szCs w:val="21"/>
          <w:highlight w:val="none"/>
          <w:u w:val="single"/>
        </w:rPr>
        <w:t>期 零 天内和（或）金额 零 万元内的变更，监理人不需请示委托人即可向承包人发布变更通知</w:t>
      </w:r>
      <w:r>
        <w:rPr>
          <w:rFonts w:hint="eastAsia" w:ascii="宋体" w:hAnsi="宋体" w:eastAsia="宋体" w:cs="宋体"/>
          <w:szCs w:val="21"/>
          <w:highlight w:val="none"/>
        </w:rPr>
        <w:t xml:space="preserve">。 </w:t>
      </w:r>
    </w:p>
    <w:p w14:paraId="1FE4EE0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2.4.4 监理人有权要求承包人调换其人员的限制条件：</w:t>
      </w:r>
      <w:r>
        <w:rPr>
          <w:rFonts w:hint="eastAsia" w:ascii="宋体" w:hAnsi="宋体" w:eastAsia="宋体" w:cs="宋体"/>
          <w:szCs w:val="21"/>
          <w:u w:val="single"/>
        </w:rPr>
        <w:t>实际发生时，与委托人协商解决最终经委托人同意后调换。</w:t>
      </w:r>
    </w:p>
    <w:p w14:paraId="0E00369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在监理过程中如发现工程承包人人员工作不力，监理机构可要求承包人调换有关人员</w:t>
      </w:r>
    </w:p>
    <w:p w14:paraId="131635D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2.5 提交报告 </w:t>
      </w:r>
    </w:p>
    <w:p w14:paraId="37146E86">
      <w:pPr>
        <w:keepNext w:val="0"/>
        <w:keepLines w:val="0"/>
        <w:widowControl/>
        <w:kinsoku/>
        <w:wordWrap/>
        <w:overflowPunct/>
        <w:topLinePunct w:val="0"/>
        <w:bidi w:val="0"/>
        <w:spacing w:line="440" w:lineRule="exact"/>
        <w:ind w:right="20" w:firstLine="440" w:firstLineChars="200"/>
        <w:textAlignment w:val="auto"/>
        <w:rPr>
          <w:rFonts w:hint="eastAsia" w:ascii="宋体" w:hAnsi="宋体" w:eastAsia="宋体" w:cs="宋体"/>
          <w:szCs w:val="21"/>
          <w:u w:val="single"/>
        </w:rPr>
      </w:pPr>
      <w:r>
        <w:rPr>
          <w:rFonts w:hint="eastAsia" w:ascii="宋体" w:hAnsi="宋体" w:eastAsia="宋体" w:cs="宋体"/>
          <w:szCs w:val="21"/>
        </w:rPr>
        <w:t>监理人应提交报告的种类(包括监理规划、监理月报及约定的专项报告)、时间和份数：</w:t>
      </w:r>
      <w:r>
        <w:rPr>
          <w:rFonts w:hint="eastAsia" w:ascii="宋体" w:hAnsi="宋体" w:eastAsia="宋体" w:cs="宋体"/>
          <w:szCs w:val="21"/>
          <w:u w:val="single"/>
        </w:rPr>
        <w:t xml:space="preserve">监理规划在委托方提供有关资料齐全后10 天内、监理细则在施工单位提供施工组织后 10 天内 各上报四份，监理月报每月 25 日提交，专项报告按工程需要及时提交。以上报告均应同时提供电子版一份。监理工作完成后需提交委托人工程验收资料、过程监理资料、设计变更、工程变更资料、监理指令性文件、监理日志及各种签证等监理档案资料。 每月 25 日，份数 3 份 </w:t>
      </w:r>
    </w:p>
    <w:p w14:paraId="5BCA23A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2.6 在本合同履行期内，监理人应在现场保留工作所用的图纸、报告及记录监理工作的相关文件</w:t>
      </w:r>
      <w:r>
        <w:rPr>
          <w:rFonts w:hint="eastAsia" w:ascii="宋体" w:hAnsi="宋体" w:eastAsia="宋体" w:cs="宋体"/>
          <w:szCs w:val="21"/>
          <w:u w:val="single"/>
        </w:rPr>
        <w:t xml:space="preserve"> 按委托人的要求在合同限期内做好档案移交工作，监理人须向委托人移交六套档案料</w:t>
      </w:r>
      <w:r>
        <w:rPr>
          <w:rFonts w:hint="eastAsia" w:ascii="宋体" w:hAnsi="宋体" w:eastAsia="宋体" w:cs="宋体"/>
          <w:szCs w:val="21"/>
        </w:rPr>
        <w:t xml:space="preserve">。 </w:t>
      </w:r>
    </w:p>
    <w:p w14:paraId="47E0DA1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2.7 使用委托人的财产 </w:t>
      </w:r>
    </w:p>
    <w:p w14:paraId="4D79395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附录 B 中由委托人无偿提供的房屋、设备的所有权属于：</w:t>
      </w:r>
      <w:r>
        <w:rPr>
          <w:rFonts w:hint="eastAsia" w:ascii="宋体" w:hAnsi="宋体" w:eastAsia="宋体" w:cs="宋体"/>
          <w:szCs w:val="21"/>
          <w:u w:val="single"/>
        </w:rPr>
        <w:t xml:space="preserve"> 委托人提供办公房和住宿用房各一间，办公设备监理单位自备 </w:t>
      </w:r>
      <w:r>
        <w:rPr>
          <w:rFonts w:hint="eastAsia" w:ascii="宋体" w:hAnsi="宋体" w:eastAsia="宋体" w:cs="宋体"/>
          <w:szCs w:val="21"/>
        </w:rPr>
        <w:t xml:space="preserve">。 </w:t>
      </w:r>
    </w:p>
    <w:p w14:paraId="15799DDE">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rPr>
        <w:t>监理人应在本合同终止后</w:t>
      </w:r>
      <w:r>
        <w:rPr>
          <w:rFonts w:hint="eastAsia" w:ascii="宋体" w:hAnsi="宋体" w:eastAsia="宋体" w:cs="宋体"/>
          <w:szCs w:val="21"/>
          <w:u w:val="single"/>
        </w:rPr>
        <w:t xml:space="preserve"> 7 </w:t>
      </w:r>
      <w:r>
        <w:rPr>
          <w:rFonts w:hint="eastAsia" w:ascii="宋体" w:hAnsi="宋体" w:eastAsia="宋体" w:cs="宋体"/>
          <w:szCs w:val="21"/>
        </w:rPr>
        <w:t>天内移交委托人无偿提供的房屋、设备，移交的时间和方式为：</w:t>
      </w:r>
      <w:r>
        <w:rPr>
          <w:rFonts w:hint="eastAsia" w:ascii="宋体" w:hAnsi="宋体" w:eastAsia="宋体" w:cs="宋体"/>
          <w:szCs w:val="21"/>
          <w:u w:val="single"/>
        </w:rPr>
        <w:t>7 天，监理人退场时，双方物品现场移交并在移交清单上签字确认。</w:t>
      </w:r>
    </w:p>
    <w:p w14:paraId="544DCB9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u w:val="single"/>
        </w:rPr>
        <w:t>现场交接与提交文档资料</w:t>
      </w:r>
      <w:r>
        <w:rPr>
          <w:rFonts w:hint="eastAsia" w:ascii="宋体" w:hAnsi="宋体" w:eastAsia="宋体" w:cs="宋体"/>
          <w:szCs w:val="21"/>
        </w:rPr>
        <w:t xml:space="preserve"> 。 </w:t>
      </w:r>
    </w:p>
    <w:p w14:paraId="56AC7C0B">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126" w:name="_Toc27435"/>
      <w:r>
        <w:rPr>
          <w:rFonts w:hint="eastAsia" w:ascii="宋体" w:hAnsi="宋体" w:eastAsia="宋体" w:cs="宋体"/>
          <w:b/>
          <w:bCs/>
        </w:rPr>
        <w:t>3. 委托人义务</w:t>
      </w:r>
      <w:bookmarkEnd w:id="126"/>
      <w:r>
        <w:rPr>
          <w:rFonts w:hint="eastAsia" w:ascii="宋体" w:hAnsi="宋体" w:eastAsia="宋体" w:cs="宋体"/>
          <w:b/>
          <w:bCs/>
        </w:rPr>
        <w:t xml:space="preserve"> </w:t>
      </w:r>
    </w:p>
    <w:p w14:paraId="16734DA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rPr>
      </w:pPr>
      <w:r>
        <w:rPr>
          <w:rFonts w:hint="eastAsia" w:ascii="宋体" w:hAnsi="宋体" w:eastAsia="宋体" w:cs="宋体"/>
          <w:b/>
          <w:bCs/>
          <w:szCs w:val="21"/>
        </w:rPr>
        <w:t>3.</w:t>
      </w:r>
      <w:r>
        <w:rPr>
          <w:rFonts w:hint="eastAsia" w:ascii="宋体" w:hAnsi="宋体" w:eastAsia="宋体" w:cs="宋体"/>
          <w:b/>
          <w:bCs/>
          <w:szCs w:val="21"/>
          <w:lang w:val="en-US" w:eastAsia="zh-CN"/>
        </w:rPr>
        <w:t>1</w:t>
      </w:r>
      <w:r>
        <w:rPr>
          <w:rFonts w:hint="eastAsia" w:ascii="宋体" w:hAnsi="宋体" w:eastAsia="宋体" w:cs="宋体"/>
          <w:b/>
          <w:bCs/>
          <w:szCs w:val="21"/>
        </w:rPr>
        <w:t xml:space="preserve"> 委托人代表 </w:t>
      </w:r>
    </w:p>
    <w:p w14:paraId="62FE0BD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委托人代表为：</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EA5343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rPr>
      </w:pPr>
      <w:r>
        <w:rPr>
          <w:rFonts w:hint="eastAsia" w:ascii="宋体" w:hAnsi="宋体" w:eastAsia="宋体" w:cs="宋体"/>
          <w:b/>
          <w:bCs/>
          <w:szCs w:val="21"/>
        </w:rPr>
        <w:t>3.</w:t>
      </w:r>
      <w:r>
        <w:rPr>
          <w:rFonts w:hint="eastAsia" w:ascii="宋体" w:hAnsi="宋体" w:eastAsia="宋体" w:cs="宋体"/>
          <w:b/>
          <w:bCs/>
          <w:szCs w:val="21"/>
          <w:lang w:val="en-US" w:eastAsia="zh-CN"/>
        </w:rPr>
        <w:t>2</w:t>
      </w:r>
      <w:r>
        <w:rPr>
          <w:rFonts w:hint="eastAsia" w:ascii="宋体" w:hAnsi="宋体" w:eastAsia="宋体" w:cs="宋体"/>
          <w:b/>
          <w:bCs/>
          <w:szCs w:val="21"/>
        </w:rPr>
        <w:t xml:space="preserve"> 答复 </w:t>
      </w:r>
    </w:p>
    <w:p w14:paraId="08008BE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w:t>
      </w:r>
      <w:r>
        <w:rPr>
          <w:rFonts w:hint="eastAsia" w:ascii="宋体" w:hAnsi="宋体" w:eastAsia="宋体" w:cs="宋体"/>
          <w:szCs w:val="21"/>
          <w:highlight w:val="none"/>
        </w:rPr>
        <w:t>同意在</w:t>
      </w:r>
      <w:r>
        <w:rPr>
          <w:rFonts w:hint="eastAsia" w:ascii="宋体" w:hAnsi="宋体" w:eastAsia="宋体" w:cs="宋体"/>
          <w:szCs w:val="21"/>
          <w:highlight w:val="none"/>
          <w:u w:val="single"/>
        </w:rPr>
        <w:t xml:space="preserve">  7  </w:t>
      </w:r>
      <w:r>
        <w:rPr>
          <w:rFonts w:hint="eastAsia" w:ascii="宋体" w:hAnsi="宋体" w:eastAsia="宋体" w:cs="宋体"/>
          <w:szCs w:val="21"/>
        </w:rPr>
        <w:t xml:space="preserve">天内，对监理人书面提交并要求做出决定的事宜给予书面答复。 </w:t>
      </w:r>
    </w:p>
    <w:p w14:paraId="01C1F70E">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127" w:name="_Toc5688"/>
      <w:r>
        <w:rPr>
          <w:rFonts w:hint="eastAsia" w:ascii="宋体" w:hAnsi="宋体" w:eastAsia="宋体" w:cs="宋体"/>
          <w:b/>
          <w:bCs/>
        </w:rPr>
        <w:t>4. 违约责任</w:t>
      </w:r>
      <w:bookmarkEnd w:id="127"/>
      <w:r>
        <w:rPr>
          <w:rFonts w:hint="eastAsia" w:ascii="宋体" w:hAnsi="宋体" w:eastAsia="宋体" w:cs="宋体"/>
          <w:b/>
          <w:bCs/>
        </w:rPr>
        <w:t xml:space="preserve"> </w:t>
      </w:r>
    </w:p>
    <w:p w14:paraId="549B40F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rPr>
      </w:pPr>
      <w:r>
        <w:rPr>
          <w:rFonts w:hint="eastAsia" w:ascii="宋体" w:hAnsi="宋体" w:eastAsia="宋体" w:cs="宋体"/>
          <w:b/>
          <w:bCs/>
          <w:szCs w:val="21"/>
          <w:lang w:val="en-US" w:eastAsia="zh-CN"/>
        </w:rPr>
        <w:t xml:space="preserve">4.1 监理人的违约责任 </w:t>
      </w:r>
    </w:p>
    <w:p w14:paraId="1EAE91A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4.1.1 监理人赔偿金额按下列方法确定： </w:t>
      </w:r>
    </w:p>
    <w:p w14:paraId="770CCFC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赔偿金＝直接经济损失×正常工作酬金÷工程概算投资额（或建筑安装工程费） </w:t>
      </w:r>
    </w:p>
    <w:p w14:paraId="0961BFB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rPr>
      </w:pPr>
      <w:r>
        <w:rPr>
          <w:rFonts w:hint="eastAsia" w:ascii="宋体" w:hAnsi="宋体" w:eastAsia="宋体" w:cs="宋体"/>
          <w:b/>
          <w:bCs/>
          <w:szCs w:val="21"/>
        </w:rPr>
        <w:t xml:space="preserve">4.2 委托人的违约责任 </w:t>
      </w:r>
    </w:p>
    <w:p w14:paraId="583CBE0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4.2.3 委托人逾期付款利息按下列方法确定：</w:t>
      </w:r>
      <w:r>
        <w:rPr>
          <w:rFonts w:hint="eastAsia" w:ascii="宋体" w:hAnsi="宋体" w:eastAsia="宋体" w:cs="宋体"/>
          <w:szCs w:val="21"/>
          <w:u w:val="single"/>
        </w:rPr>
        <w:t xml:space="preserve">不计利息 </w:t>
      </w:r>
      <w:r>
        <w:rPr>
          <w:rFonts w:hint="eastAsia" w:ascii="宋体" w:hAnsi="宋体" w:eastAsia="宋体" w:cs="宋体"/>
          <w:szCs w:val="21"/>
        </w:rPr>
        <w:t xml:space="preserve">。 </w:t>
      </w:r>
    </w:p>
    <w:p w14:paraId="2A66B33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逾期付款利息＝当期应付款总额×银行同期贷款利率×拖延支付天数 </w:t>
      </w:r>
    </w:p>
    <w:p w14:paraId="3422F876">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128" w:name="_Toc1534"/>
      <w:r>
        <w:rPr>
          <w:rFonts w:hint="eastAsia" w:ascii="宋体" w:hAnsi="宋体" w:eastAsia="宋体" w:cs="宋体"/>
          <w:b/>
          <w:bCs/>
        </w:rPr>
        <w:t>5. 支付</w:t>
      </w:r>
      <w:bookmarkEnd w:id="128"/>
    </w:p>
    <w:p w14:paraId="6660495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rPr>
      </w:pPr>
      <w:r>
        <w:rPr>
          <w:rFonts w:hint="eastAsia" w:ascii="宋体" w:hAnsi="宋体" w:eastAsia="宋体" w:cs="宋体"/>
          <w:b/>
          <w:bCs/>
          <w:szCs w:val="21"/>
        </w:rPr>
        <w:t>5.1 支付货币</w:t>
      </w:r>
    </w:p>
    <w:p w14:paraId="4C1EF55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币种为：</w:t>
      </w:r>
      <w:r>
        <w:rPr>
          <w:rFonts w:hint="eastAsia" w:ascii="宋体" w:hAnsi="宋体" w:eastAsia="宋体" w:cs="宋体"/>
          <w:szCs w:val="21"/>
          <w:u w:val="single"/>
        </w:rPr>
        <w:t>人民币</w:t>
      </w:r>
      <w:r>
        <w:rPr>
          <w:rFonts w:hint="eastAsia" w:ascii="宋体" w:hAnsi="宋体" w:eastAsia="宋体" w:cs="宋体"/>
          <w:szCs w:val="21"/>
        </w:rPr>
        <w:t>，比例为：</w:t>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rPr>
        <w:t>，汇率为：</w:t>
      </w:r>
      <w:r>
        <w:rPr>
          <w:rFonts w:hint="eastAsia" w:ascii="宋体" w:hAnsi="宋体" w:eastAsia="宋体" w:cs="宋体"/>
          <w:szCs w:val="21"/>
          <w:u w:val="single"/>
        </w:rPr>
        <w:t xml:space="preserve"> / </w:t>
      </w:r>
      <w:r>
        <w:rPr>
          <w:rFonts w:hint="eastAsia" w:ascii="宋体" w:hAnsi="宋体" w:eastAsia="宋体" w:cs="宋体"/>
          <w:szCs w:val="21"/>
        </w:rPr>
        <w:t>。</w:t>
      </w:r>
    </w:p>
    <w:p w14:paraId="3A79CCA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 xml:space="preserve">5.3 支付酬金 </w:t>
      </w:r>
    </w:p>
    <w:p w14:paraId="65B0C8A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rPr>
      </w:pPr>
      <w:r>
        <w:rPr>
          <w:rFonts w:hint="eastAsia" w:ascii="宋体" w:hAnsi="宋体" w:eastAsia="宋体" w:cs="宋体"/>
          <w:b/>
          <w:bCs/>
          <w:szCs w:val="21"/>
        </w:rPr>
        <w:t xml:space="preserve">正常工作酬金的支付： </w:t>
      </w:r>
    </w:p>
    <w:p w14:paraId="1BBB8E6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color w:val="auto"/>
          <w:szCs w:val="21"/>
          <w:highlight w:val="none"/>
          <w:lang w:val="en-US" w:eastAsia="zh-CN"/>
        </w:rPr>
      </w:pPr>
      <w:r>
        <w:rPr>
          <w:rFonts w:hint="eastAsia" w:cs="宋体"/>
          <w:color w:val="auto"/>
          <w:sz w:val="22"/>
          <w:szCs w:val="22"/>
          <w:highlight w:val="none"/>
          <w:u w:val="single"/>
          <w:lang w:val="en-US" w:eastAsia="zh-CN"/>
        </w:rPr>
        <w:t>合同签订完成，支付合同价款的30%；竣工结算完成后，支付至审定价款的100%。</w:t>
      </w:r>
    </w:p>
    <w:p w14:paraId="4A7DCDA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付款时，监理人应按委托人要求，及时向委托人开具财政部门认可的正规发票，并确保发票票面信息全部真实。因监理人开具发票不及时或不规范、不合法给委托人造成无法及时认证、抵扣发票等情况的，监理人需向委托人承担赔偿责任，包括但不限于税款、滞纳金、罚款及相关损失等。</w:t>
      </w:r>
    </w:p>
    <w:p w14:paraId="014D265E">
      <w:pPr>
        <w:keepNext w:val="0"/>
        <w:keepLines w:val="0"/>
        <w:numPr>
          <w:ilvl w:val="0"/>
          <w:numId w:val="1"/>
        </w:numPr>
        <w:kinsoku/>
        <w:wordWrap/>
        <w:overflowPunct/>
        <w:topLinePunct w:val="0"/>
        <w:bidi w:val="0"/>
        <w:spacing w:line="440" w:lineRule="exact"/>
        <w:textAlignment w:val="auto"/>
        <w:outlineLvl w:val="1"/>
        <w:rPr>
          <w:rFonts w:hint="eastAsia" w:ascii="宋体" w:hAnsi="宋体" w:eastAsia="宋体" w:cs="宋体"/>
          <w:b/>
          <w:bCs/>
        </w:rPr>
      </w:pPr>
      <w:bookmarkStart w:id="129" w:name="_Toc19157"/>
      <w:r>
        <w:rPr>
          <w:rFonts w:hint="eastAsia" w:ascii="宋体" w:hAnsi="宋体" w:eastAsia="宋体" w:cs="宋体"/>
          <w:b/>
          <w:bCs/>
        </w:rPr>
        <w:t>合同生效、变更、暂停、解除与终止</w:t>
      </w:r>
      <w:bookmarkEnd w:id="129"/>
    </w:p>
    <w:p w14:paraId="0FDB1F06">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 xml:space="preserve">6.1 生效 </w:t>
      </w:r>
    </w:p>
    <w:p w14:paraId="2447093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本合同生效条件：</w:t>
      </w:r>
      <w:r>
        <w:rPr>
          <w:rFonts w:hint="eastAsia" w:ascii="宋体" w:hAnsi="宋体" w:eastAsia="宋体" w:cs="宋体"/>
          <w:szCs w:val="21"/>
          <w:u w:val="single"/>
        </w:rPr>
        <w:t xml:space="preserve"> 按通用条件执行</w:t>
      </w:r>
      <w:r>
        <w:rPr>
          <w:rFonts w:hint="eastAsia" w:ascii="宋体" w:hAnsi="宋体" w:eastAsia="宋体" w:cs="宋体"/>
          <w:szCs w:val="21"/>
        </w:rPr>
        <w:t>。</w:t>
      </w:r>
      <w:r>
        <w:rPr>
          <w:rFonts w:hint="eastAsia" w:ascii="宋体" w:hAnsi="宋体" w:eastAsia="宋体" w:cs="宋体"/>
          <w:szCs w:val="21"/>
          <w:u w:val="single"/>
        </w:rPr>
        <w:t>签字、盖章即时生效</w:t>
      </w:r>
      <w:r>
        <w:rPr>
          <w:rFonts w:hint="eastAsia" w:ascii="宋体" w:hAnsi="宋体" w:eastAsia="宋体" w:cs="宋体"/>
          <w:szCs w:val="21"/>
        </w:rPr>
        <w:t xml:space="preserve"> 。 </w:t>
      </w:r>
    </w:p>
    <w:p w14:paraId="41A01BD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6.2 变更</w:t>
      </w:r>
    </w:p>
    <w:p w14:paraId="1147377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6.2.2 除不可抗力外，因非监理人原因导致本合同期限延长时，附加工作酬金按下列方法确定：</w:t>
      </w:r>
    </w:p>
    <w:p w14:paraId="028D951B">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附加工作酬金=本合同期限延长时间（天）×正常工作酬金÷协议书约定的监理与相关服务期限（天）</w:t>
      </w:r>
    </w:p>
    <w:p w14:paraId="2F78B27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6.2.3附加工作酬金按下列方法确定：</w:t>
      </w:r>
    </w:p>
    <w:p w14:paraId="6E236BD2">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附加工作酬金=善后工作及恢复服务的准备工作时间（天）×正常工作酬金÷协议书约定的监理与相关服务期限（天）</w:t>
      </w:r>
    </w:p>
    <w:p w14:paraId="3ACB617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6.2.5 正常工作酬金增加额按下列方法确定： </w:t>
      </w:r>
    </w:p>
    <w:p w14:paraId="0A02BE6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正常工作酬金增加额=工程投资额或建筑安装工程费增加额×正常工作酬金÷工程概算投资额（或建筑安装工程费）</w:t>
      </w:r>
    </w:p>
    <w:p w14:paraId="19C2A5E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6.2.6 因工程规模、监理范围的变化导致监理人的正常工作量减少时，按减少工作量的比例从协议书约定的正常工作酬金中扣减相同比例的酬金。</w:t>
      </w:r>
    </w:p>
    <w:p w14:paraId="2A7B4E89">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130" w:name="_Toc19205"/>
      <w:r>
        <w:rPr>
          <w:rFonts w:hint="eastAsia" w:ascii="宋体" w:hAnsi="宋体" w:eastAsia="宋体" w:cs="宋体"/>
          <w:b/>
          <w:bCs/>
        </w:rPr>
        <w:t>7. 争议解决</w:t>
      </w:r>
      <w:bookmarkEnd w:id="130"/>
      <w:r>
        <w:rPr>
          <w:rFonts w:hint="eastAsia" w:ascii="宋体" w:hAnsi="宋体" w:eastAsia="宋体" w:cs="宋体"/>
          <w:b/>
          <w:bCs/>
        </w:rPr>
        <w:t xml:space="preserve"> </w:t>
      </w:r>
    </w:p>
    <w:p w14:paraId="0B8D620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 xml:space="preserve">7.1 调解 </w:t>
      </w:r>
    </w:p>
    <w:p w14:paraId="21219551">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rPr>
        <w:t>本合同争议进行调解时，可提交</w:t>
      </w:r>
      <w:r>
        <w:rPr>
          <w:rFonts w:hint="eastAsia" w:ascii="宋体" w:hAnsi="宋体" w:eastAsia="宋体" w:cs="宋体"/>
          <w:szCs w:val="21"/>
          <w:u w:val="single"/>
        </w:rPr>
        <w:t xml:space="preserve"> 项目所在地人民法院 </w:t>
      </w:r>
      <w:r>
        <w:rPr>
          <w:rFonts w:hint="eastAsia" w:ascii="宋体" w:hAnsi="宋体" w:eastAsia="宋体" w:cs="宋体"/>
          <w:szCs w:val="21"/>
        </w:rPr>
        <w:t xml:space="preserve">进行调解。 </w:t>
      </w:r>
    </w:p>
    <w:p w14:paraId="752E7E8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 xml:space="preserve">7.2 仲裁或诉讼 </w:t>
      </w:r>
    </w:p>
    <w:p w14:paraId="42D7A13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合同争议的最终解决方式为下列第 2 种方式： </w:t>
      </w:r>
    </w:p>
    <w:p w14:paraId="7F92B93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（1）提请</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仲裁委员会进行仲裁。 </w:t>
      </w:r>
    </w:p>
    <w:p w14:paraId="54D03B0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（2）向</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人民法院提起诉讼。 </w:t>
      </w:r>
    </w:p>
    <w:p w14:paraId="61E22EDD">
      <w:pPr>
        <w:keepNext w:val="0"/>
        <w:keepLines w:val="0"/>
        <w:kinsoku/>
        <w:wordWrap/>
        <w:overflowPunct/>
        <w:topLinePunct w:val="0"/>
        <w:bidi w:val="0"/>
        <w:spacing w:line="440" w:lineRule="exact"/>
        <w:textAlignment w:val="auto"/>
        <w:outlineLvl w:val="1"/>
        <w:rPr>
          <w:rFonts w:hint="eastAsia" w:ascii="宋体" w:hAnsi="宋体" w:eastAsia="宋体" w:cs="宋体"/>
          <w:b/>
          <w:bCs/>
        </w:rPr>
      </w:pPr>
      <w:bookmarkStart w:id="131" w:name="_Toc31944"/>
      <w:r>
        <w:rPr>
          <w:rFonts w:hint="eastAsia" w:ascii="宋体" w:hAnsi="宋体" w:eastAsia="宋体" w:cs="宋体"/>
          <w:b/>
          <w:bCs/>
        </w:rPr>
        <w:t>8. 其他</w:t>
      </w:r>
      <w:bookmarkEnd w:id="131"/>
      <w:r>
        <w:rPr>
          <w:rFonts w:hint="eastAsia" w:ascii="宋体" w:hAnsi="宋体" w:eastAsia="宋体" w:cs="宋体"/>
          <w:b/>
          <w:bCs/>
        </w:rPr>
        <w:t xml:space="preserve"> </w:t>
      </w:r>
    </w:p>
    <w:p w14:paraId="1312648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8.1 检测费用 </w:t>
      </w:r>
    </w:p>
    <w:p w14:paraId="76EC2B9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委托人应在检测工作完成后</w:t>
      </w:r>
      <w:r>
        <w:rPr>
          <w:rFonts w:hint="eastAsia" w:ascii="宋体" w:hAnsi="宋体" w:eastAsia="宋体" w:cs="宋体"/>
          <w:szCs w:val="21"/>
          <w:u w:val="single"/>
        </w:rPr>
        <w:t xml:space="preserve"> / </w:t>
      </w:r>
      <w:r>
        <w:rPr>
          <w:rFonts w:hint="eastAsia" w:ascii="宋体" w:hAnsi="宋体" w:eastAsia="宋体" w:cs="宋体"/>
          <w:szCs w:val="21"/>
        </w:rPr>
        <w:t xml:space="preserve">天内支付检测费用。 </w:t>
      </w:r>
    </w:p>
    <w:p w14:paraId="345E541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8.2 咨询费用 </w:t>
      </w:r>
    </w:p>
    <w:p w14:paraId="485CD827">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委托人应在咨询工作完成后</w:t>
      </w:r>
      <w:r>
        <w:rPr>
          <w:rFonts w:hint="eastAsia" w:ascii="宋体" w:hAnsi="宋体" w:eastAsia="宋体" w:cs="宋体"/>
          <w:szCs w:val="21"/>
          <w:u w:val="single"/>
        </w:rPr>
        <w:t xml:space="preserve"> / </w:t>
      </w:r>
      <w:r>
        <w:rPr>
          <w:rFonts w:hint="eastAsia" w:ascii="宋体" w:hAnsi="宋体" w:eastAsia="宋体" w:cs="宋体"/>
          <w:szCs w:val="21"/>
        </w:rPr>
        <w:t xml:space="preserve">天内支付咨询费用。 </w:t>
      </w:r>
    </w:p>
    <w:p w14:paraId="55E572B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8.3 奖励 </w:t>
      </w:r>
    </w:p>
    <w:p w14:paraId="32BACBD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合理化建议的奖励金额按下列方法确定为： </w:t>
      </w:r>
    </w:p>
    <w:p w14:paraId="5C586739">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奖励金额＝工程投资节省额（以有资质第三方审定为准）×奖励金额的比率； </w:t>
      </w:r>
    </w:p>
    <w:p w14:paraId="54AAF25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奖励金额的比率为</w:t>
      </w:r>
      <w:r>
        <w:rPr>
          <w:rFonts w:hint="eastAsia" w:ascii="宋体" w:hAnsi="宋体" w:eastAsia="宋体" w:cs="宋体"/>
          <w:szCs w:val="21"/>
          <w:u w:val="single"/>
        </w:rPr>
        <w:t xml:space="preserve"> 协商确定比例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0F20D3F">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8.4 保密 </w:t>
      </w:r>
    </w:p>
    <w:p w14:paraId="435DE338">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u w:val="single"/>
        </w:rPr>
      </w:pPr>
      <w:r>
        <w:rPr>
          <w:rFonts w:hint="eastAsia" w:ascii="宋体" w:hAnsi="宋体" w:eastAsia="宋体" w:cs="宋体"/>
          <w:szCs w:val="21"/>
          <w:u w:val="single"/>
        </w:rPr>
        <w:t xml:space="preserve">在合同期内或合同终止后，未征得委托人同意，监理人有技术保密的责任和义务，对于本工程监理项目中委托人提供的相关图纸、技术资料、检测成果及工程涉及的专利技术，未经委托人书面授权，不得泄露或转让给第三方，如发生此类问题，监理人承担违约责任及相应的经济赔偿及法律责任，本条款长期有效。 </w:t>
      </w:r>
    </w:p>
    <w:p w14:paraId="32B76EA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u w:val="single"/>
        </w:rPr>
        <w:t>不得泄露与本工程、本合同业务有关的保密资料</w:t>
      </w:r>
      <w:r>
        <w:rPr>
          <w:rFonts w:hint="eastAsia" w:ascii="宋体" w:hAnsi="宋体" w:eastAsia="宋体" w:cs="宋体"/>
          <w:szCs w:val="21"/>
        </w:rPr>
        <w:t xml:space="preserve">。 </w:t>
      </w:r>
    </w:p>
    <w:p w14:paraId="3273513D">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委托人申明的保密事项和期限：</w:t>
      </w:r>
      <w:r>
        <w:rPr>
          <w:rFonts w:hint="eastAsia" w:ascii="宋体" w:hAnsi="宋体" w:eastAsia="宋体" w:cs="宋体"/>
          <w:szCs w:val="21"/>
          <w:u w:val="single"/>
        </w:rPr>
        <w:t xml:space="preserve"> 工程资料，长期 </w:t>
      </w:r>
      <w:r>
        <w:rPr>
          <w:rFonts w:hint="eastAsia" w:ascii="宋体" w:hAnsi="宋体" w:eastAsia="宋体" w:cs="宋体"/>
          <w:szCs w:val="21"/>
        </w:rPr>
        <w:t xml:space="preserve">。 </w:t>
      </w:r>
    </w:p>
    <w:p w14:paraId="5F5FB0E5">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监理人申明的保密事项和期限：</w:t>
      </w:r>
      <w:r>
        <w:rPr>
          <w:rFonts w:hint="eastAsia" w:ascii="宋体" w:hAnsi="宋体" w:eastAsia="宋体" w:cs="宋体"/>
          <w:szCs w:val="21"/>
          <w:u w:val="single"/>
        </w:rPr>
        <w:t xml:space="preserve"> 工程资料，长期 </w:t>
      </w:r>
      <w:r>
        <w:rPr>
          <w:rFonts w:hint="eastAsia" w:ascii="宋体" w:hAnsi="宋体" w:eastAsia="宋体" w:cs="宋体"/>
          <w:szCs w:val="21"/>
        </w:rPr>
        <w:t xml:space="preserve">。 </w:t>
      </w:r>
    </w:p>
    <w:p w14:paraId="64E2AA50">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第三方申明的保密事项和期限：</w:t>
      </w:r>
      <w:r>
        <w:rPr>
          <w:rFonts w:hint="eastAsia" w:ascii="宋体" w:hAnsi="宋体" w:eastAsia="宋体" w:cs="宋体"/>
          <w:szCs w:val="21"/>
          <w:u w:val="single"/>
        </w:rPr>
        <w:t xml:space="preserve"> 工程资料，长期 </w:t>
      </w:r>
      <w:r>
        <w:rPr>
          <w:rFonts w:hint="eastAsia" w:ascii="宋体" w:hAnsi="宋体" w:eastAsia="宋体" w:cs="宋体"/>
          <w:szCs w:val="21"/>
        </w:rPr>
        <w:t xml:space="preserve">。 </w:t>
      </w:r>
    </w:p>
    <w:p w14:paraId="7BA3EA3A">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8.5 著作权 </w:t>
      </w:r>
    </w:p>
    <w:p w14:paraId="4178D28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监理人在本合同履行期间及本合同终止后出版涉及本工程的有关监理与相关服务的资料的限制条件： </w:t>
      </w:r>
    </w:p>
    <w:p w14:paraId="4D1DC6C3">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u w:val="single"/>
        </w:rPr>
        <w:t>所有相关资料归委托人所有，应事先征得委托人的书面同意后方可进行</w:t>
      </w:r>
      <w:r>
        <w:rPr>
          <w:rFonts w:hint="eastAsia" w:ascii="宋体" w:hAnsi="宋体" w:eastAsia="宋体" w:cs="宋体"/>
          <w:szCs w:val="21"/>
        </w:rPr>
        <w:t xml:space="preserve">。 </w:t>
      </w:r>
    </w:p>
    <w:p w14:paraId="5B5F438B">
      <w:pPr>
        <w:keepNext w:val="0"/>
        <w:keepLines w:val="0"/>
        <w:widowControl/>
        <w:numPr>
          <w:ilvl w:val="0"/>
          <w:numId w:val="2"/>
        </w:numPr>
        <w:kinsoku/>
        <w:wordWrap/>
        <w:overflowPunct/>
        <w:topLinePunct w:val="0"/>
        <w:bidi w:val="0"/>
        <w:spacing w:line="440" w:lineRule="exact"/>
        <w:ind w:right="20" w:firstLine="400"/>
        <w:textAlignment w:val="auto"/>
        <w:rPr>
          <w:rFonts w:hint="eastAsia" w:ascii="宋体" w:hAnsi="宋体" w:eastAsia="宋体" w:cs="宋体"/>
        </w:rPr>
      </w:pPr>
      <w:r>
        <w:rPr>
          <w:rFonts w:hint="eastAsia" w:ascii="宋体" w:hAnsi="宋体" w:eastAsia="宋体" w:cs="宋体"/>
          <w:b/>
          <w:bCs/>
          <w:szCs w:val="21"/>
        </w:rPr>
        <w:t xml:space="preserve">补充条款 </w:t>
      </w:r>
    </w:p>
    <w:p w14:paraId="347334F6">
      <w:pPr>
        <w:keepNext w:val="0"/>
        <w:keepLines w:val="0"/>
        <w:widowControl/>
        <w:kinsoku/>
        <w:wordWrap/>
        <w:overflowPunct/>
        <w:topLinePunct w:val="0"/>
        <w:bidi w:val="0"/>
        <w:spacing w:line="440" w:lineRule="exact"/>
        <w:ind w:right="20" w:firstLine="400"/>
        <w:textAlignment w:val="auto"/>
        <w:rPr>
          <w:rFonts w:hint="default" w:ascii="宋体" w:hAnsi="宋体" w:eastAsia="宋体" w:cs="宋体"/>
          <w:szCs w:val="21"/>
          <w:u w:val="single"/>
          <w:lang w:val="en-US" w:eastAsia="zh-CN"/>
        </w:rPr>
      </w:pP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p>
    <w:p w14:paraId="07383D44">
      <w:pPr>
        <w:keepNext w:val="0"/>
        <w:keepLines w:val="0"/>
        <w:widowControl/>
        <w:kinsoku/>
        <w:wordWrap/>
        <w:overflowPunct/>
        <w:topLinePunct w:val="0"/>
        <w:bidi w:val="0"/>
        <w:spacing w:line="440" w:lineRule="exact"/>
        <w:ind w:right="20" w:firstLine="400"/>
        <w:textAlignment w:val="auto"/>
        <w:rPr>
          <w:rFonts w:hint="eastAsia" w:ascii="宋体" w:hAnsi="宋体" w:eastAsia="宋体" w:cs="宋体"/>
          <w:szCs w:val="21"/>
        </w:rPr>
      </w:pPr>
      <w:r>
        <w:rPr>
          <w:rFonts w:hint="eastAsia" w:ascii="宋体" w:hAnsi="宋体" w:eastAsia="宋体" w:cs="宋体"/>
          <w:szCs w:val="21"/>
        </w:rPr>
        <w:t xml:space="preserve">10、未尽事宜，双方另行协商。 </w:t>
      </w:r>
    </w:p>
    <w:p w14:paraId="00EEB9AB">
      <w:pPr>
        <w:keepNext w:val="0"/>
        <w:keepLines w:val="0"/>
        <w:pageBreakBefore/>
        <w:kinsoku/>
        <w:wordWrap/>
        <w:overflowPunct/>
        <w:topLinePunct w:val="0"/>
        <w:bidi w:val="0"/>
        <w:spacing w:line="440" w:lineRule="exact"/>
        <w:jc w:val="both"/>
        <w:textAlignment w:val="auto"/>
        <w:rPr>
          <w:rFonts w:hint="eastAsia" w:ascii="宋体" w:hAnsi="宋体" w:eastAsia="宋体" w:cs="宋体"/>
          <w:b/>
          <w:bCs/>
          <w:szCs w:val="21"/>
        </w:rPr>
      </w:pPr>
      <w:r>
        <w:rPr>
          <w:rFonts w:hint="eastAsia" w:ascii="宋体" w:hAnsi="宋体" w:eastAsia="宋体" w:cs="宋体"/>
          <w:b/>
          <w:bCs/>
          <w:szCs w:val="21"/>
        </w:rPr>
        <w:t>附录A  相关服务的范围和内容</w:t>
      </w:r>
    </w:p>
    <w:p w14:paraId="5A58836B">
      <w:pPr>
        <w:keepNext w:val="0"/>
        <w:keepLines w:val="0"/>
        <w:kinsoku/>
        <w:wordWrap/>
        <w:overflowPunct/>
        <w:topLinePunct w:val="0"/>
        <w:bidi w:val="0"/>
        <w:snapToGrid w:val="0"/>
        <w:spacing w:line="440" w:lineRule="exact"/>
        <w:textAlignment w:val="auto"/>
        <w:rPr>
          <w:rFonts w:hint="eastAsia" w:ascii="宋体" w:hAnsi="宋体" w:eastAsia="宋体" w:cs="宋体"/>
          <w:kern w:val="0"/>
          <w:szCs w:val="21"/>
        </w:rPr>
      </w:pPr>
      <w:r>
        <w:rPr>
          <w:rFonts w:hint="eastAsia" w:ascii="宋体" w:hAnsi="宋体" w:eastAsia="宋体" w:cs="宋体"/>
          <w:kern w:val="0"/>
          <w:szCs w:val="21"/>
        </w:rPr>
        <w:t>A-1 勘察阶段：</w:t>
      </w:r>
      <w:r>
        <w:rPr>
          <w:rFonts w:hint="eastAsia" w:ascii="宋体" w:hAnsi="宋体" w:eastAsia="宋体" w:cs="宋体"/>
          <w:szCs w:val="21"/>
          <w:u w:val="single"/>
        </w:rPr>
        <w:t xml:space="preserve">                                        </w:t>
      </w:r>
    </w:p>
    <w:p w14:paraId="21F4CAAB">
      <w:pPr>
        <w:keepNext w:val="0"/>
        <w:keepLines w:val="0"/>
        <w:kinsoku/>
        <w:wordWrap/>
        <w:overflowPunct/>
        <w:topLinePunct w:val="0"/>
        <w:bidi w:val="0"/>
        <w:snapToGrid w:val="0"/>
        <w:spacing w:line="440" w:lineRule="exact"/>
        <w:ind w:firstLine="1540" w:firstLineChars="700"/>
        <w:textAlignment w:val="auto"/>
        <w:rPr>
          <w:rFonts w:hint="eastAsia" w:ascii="宋体" w:hAnsi="宋体" w:eastAsia="宋体" w:cs="宋体"/>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302D5653">
      <w:pPr>
        <w:keepNext w:val="0"/>
        <w:keepLines w:val="0"/>
        <w:kinsoku/>
        <w:wordWrap/>
        <w:overflowPunct/>
        <w:topLinePunct w:val="0"/>
        <w:bidi w:val="0"/>
        <w:snapToGrid w:val="0"/>
        <w:spacing w:line="440" w:lineRule="exact"/>
        <w:textAlignment w:val="auto"/>
        <w:rPr>
          <w:rFonts w:hint="eastAsia" w:ascii="宋体" w:hAnsi="宋体" w:eastAsia="宋体" w:cs="宋体"/>
          <w:kern w:val="0"/>
          <w:szCs w:val="21"/>
        </w:rPr>
      </w:pPr>
      <w:r>
        <w:rPr>
          <w:rFonts w:hint="eastAsia" w:ascii="宋体" w:hAnsi="宋体" w:eastAsia="宋体" w:cs="宋体"/>
          <w:kern w:val="0"/>
          <w:szCs w:val="21"/>
        </w:rPr>
        <w:t>A-2 设计阶段：</w:t>
      </w:r>
      <w:r>
        <w:rPr>
          <w:rFonts w:hint="eastAsia" w:ascii="宋体" w:hAnsi="宋体" w:eastAsia="宋体" w:cs="宋体"/>
          <w:szCs w:val="21"/>
          <w:u w:val="single"/>
        </w:rPr>
        <w:t xml:space="preserve">                                        </w:t>
      </w:r>
    </w:p>
    <w:p w14:paraId="40D342CB">
      <w:pPr>
        <w:keepNext w:val="0"/>
        <w:keepLines w:val="0"/>
        <w:kinsoku/>
        <w:wordWrap/>
        <w:overflowPunct/>
        <w:topLinePunct w:val="0"/>
        <w:bidi w:val="0"/>
        <w:snapToGrid w:val="0"/>
        <w:spacing w:line="440" w:lineRule="exact"/>
        <w:ind w:firstLine="1540" w:firstLineChars="700"/>
        <w:textAlignment w:val="auto"/>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w:t>
      </w:r>
    </w:p>
    <w:p w14:paraId="3D140DE8">
      <w:pPr>
        <w:keepNext w:val="0"/>
        <w:keepLines w:val="0"/>
        <w:kinsoku/>
        <w:wordWrap/>
        <w:overflowPunct/>
        <w:topLinePunct w:val="0"/>
        <w:bidi w:val="0"/>
        <w:snapToGrid w:val="0"/>
        <w:spacing w:line="440" w:lineRule="exact"/>
        <w:textAlignment w:val="auto"/>
        <w:rPr>
          <w:rFonts w:hint="eastAsia" w:ascii="宋体" w:hAnsi="宋体" w:eastAsia="宋体" w:cs="宋体"/>
          <w:kern w:val="0"/>
          <w:szCs w:val="21"/>
        </w:rPr>
      </w:pPr>
      <w:r>
        <w:rPr>
          <w:rFonts w:hint="eastAsia" w:ascii="宋体" w:hAnsi="宋体" w:eastAsia="宋体" w:cs="宋体"/>
          <w:kern w:val="0"/>
          <w:szCs w:val="21"/>
        </w:rPr>
        <w:t>A-3 保修阶段：</w:t>
      </w:r>
      <w:r>
        <w:rPr>
          <w:rFonts w:hint="eastAsia" w:ascii="宋体" w:hAnsi="宋体" w:eastAsia="宋体" w:cs="宋体"/>
          <w:szCs w:val="21"/>
          <w:u w:val="single"/>
        </w:rPr>
        <w:t xml:space="preserve">                                        </w:t>
      </w:r>
    </w:p>
    <w:p w14:paraId="5F27CE9D">
      <w:pPr>
        <w:keepNext w:val="0"/>
        <w:keepLines w:val="0"/>
        <w:kinsoku/>
        <w:wordWrap/>
        <w:overflowPunct/>
        <w:topLinePunct w:val="0"/>
        <w:bidi w:val="0"/>
        <w:snapToGrid w:val="0"/>
        <w:spacing w:line="440" w:lineRule="exact"/>
        <w:ind w:firstLine="1540" w:firstLineChars="700"/>
        <w:textAlignment w:val="auto"/>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w:t>
      </w:r>
    </w:p>
    <w:p w14:paraId="36168FF8">
      <w:pPr>
        <w:keepNext w:val="0"/>
        <w:keepLines w:val="0"/>
        <w:kinsoku/>
        <w:wordWrap/>
        <w:overflowPunct/>
        <w:topLinePunct w:val="0"/>
        <w:bidi w:val="0"/>
        <w:snapToGrid w:val="0"/>
        <w:spacing w:line="440" w:lineRule="exact"/>
        <w:textAlignment w:val="auto"/>
        <w:rPr>
          <w:rFonts w:hint="eastAsia" w:ascii="宋体" w:hAnsi="宋体" w:eastAsia="宋体" w:cs="宋体"/>
          <w:szCs w:val="21"/>
          <w:u w:val="single"/>
        </w:rPr>
      </w:pPr>
      <w:r>
        <w:rPr>
          <w:rFonts w:hint="eastAsia" w:ascii="宋体" w:hAnsi="宋体" w:eastAsia="宋体" w:cs="宋体"/>
          <w:kern w:val="0"/>
          <w:szCs w:val="21"/>
        </w:rPr>
        <w:t xml:space="preserve">A-4 </w:t>
      </w:r>
      <w:r>
        <w:rPr>
          <w:rFonts w:hint="eastAsia" w:ascii="宋体" w:hAnsi="宋体" w:eastAsia="宋体" w:cs="宋体"/>
          <w:szCs w:val="21"/>
        </w:rPr>
        <w:t>其他（专业技术咨询、外部协调工作等）：</w:t>
      </w:r>
      <w:r>
        <w:rPr>
          <w:rFonts w:hint="eastAsia" w:ascii="宋体" w:hAnsi="宋体" w:eastAsia="宋体" w:cs="宋体"/>
          <w:szCs w:val="21"/>
          <w:u w:val="single"/>
        </w:rPr>
        <w:t xml:space="preserve">             </w:t>
      </w:r>
    </w:p>
    <w:p w14:paraId="2E48628F">
      <w:pPr>
        <w:keepNext w:val="0"/>
        <w:keepLines w:val="0"/>
        <w:kinsoku/>
        <w:wordWrap/>
        <w:overflowPunct/>
        <w:topLinePunct w:val="0"/>
        <w:bidi w:val="0"/>
        <w:snapToGrid w:val="0"/>
        <w:spacing w:line="440" w:lineRule="exact"/>
        <w:ind w:firstLine="440" w:firstLineChars="200"/>
        <w:textAlignment w:val="auto"/>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w:t>
      </w:r>
    </w:p>
    <w:p w14:paraId="378B34AD">
      <w:pPr>
        <w:keepNext w:val="0"/>
        <w:keepLines w:val="0"/>
        <w:kinsoku/>
        <w:wordWrap/>
        <w:overflowPunct/>
        <w:topLinePunct w:val="0"/>
        <w:bidi w:val="0"/>
        <w:snapToGrid w:val="0"/>
        <w:spacing w:line="440" w:lineRule="exact"/>
        <w:jc w:val="both"/>
        <w:textAlignment w:val="auto"/>
        <w:rPr>
          <w:rFonts w:hint="eastAsia" w:ascii="宋体" w:hAnsi="宋体" w:eastAsia="宋体" w:cs="宋体"/>
          <w:b/>
          <w:bCs/>
          <w:szCs w:val="21"/>
        </w:rPr>
      </w:pPr>
      <w:r>
        <w:rPr>
          <w:rFonts w:hint="eastAsia" w:ascii="宋体" w:hAnsi="宋体" w:eastAsia="宋体" w:cs="宋体"/>
          <w:b/>
          <w:bCs/>
          <w:szCs w:val="21"/>
        </w:rPr>
        <w:t>附录B  委托人派遣的人员和提供的房屋、资料、设备</w:t>
      </w:r>
    </w:p>
    <w:p w14:paraId="65232E82">
      <w:pPr>
        <w:keepNext w:val="0"/>
        <w:keepLines w:val="0"/>
        <w:kinsoku/>
        <w:wordWrap/>
        <w:overflowPunct/>
        <w:topLinePunct w:val="0"/>
        <w:bidi w:val="0"/>
        <w:spacing w:line="440" w:lineRule="exact"/>
        <w:textAlignment w:val="auto"/>
        <w:rPr>
          <w:rFonts w:hint="eastAsia" w:ascii="宋体" w:hAnsi="宋体" w:eastAsia="宋体" w:cs="宋体"/>
          <w:b/>
          <w:kern w:val="0"/>
          <w:szCs w:val="21"/>
        </w:rPr>
      </w:pPr>
      <w:r>
        <w:rPr>
          <w:rFonts w:hint="eastAsia" w:ascii="宋体" w:hAnsi="宋体" w:eastAsia="宋体" w:cs="宋体"/>
          <w:b/>
          <w:kern w:val="0"/>
          <w:szCs w:val="21"/>
        </w:rPr>
        <w:t>B-1  委托人派遣的人员</w:t>
      </w:r>
    </w:p>
    <w:tbl>
      <w:tblPr>
        <w:tblStyle w:val="3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58"/>
        <w:gridCol w:w="2535"/>
        <w:gridCol w:w="2167"/>
      </w:tblGrid>
      <w:tr w14:paraId="5429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EB106E9">
            <w:pPr>
              <w:keepNext w:val="0"/>
              <w:keepLines w:val="0"/>
              <w:kinsoku/>
              <w:wordWrap/>
              <w:overflowPunct/>
              <w:topLinePunct w:val="0"/>
              <w:bidi w:val="0"/>
              <w:spacing w:line="440" w:lineRule="exact"/>
              <w:jc w:val="center"/>
              <w:textAlignment w:val="auto"/>
              <w:rPr>
                <w:rFonts w:hint="eastAsia" w:ascii="宋体" w:hAnsi="宋体" w:eastAsia="宋体" w:cs="宋体"/>
                <w:szCs w:val="21"/>
              </w:rPr>
            </w:pPr>
            <w:r>
              <w:rPr>
                <w:rFonts w:hint="eastAsia" w:ascii="宋体" w:hAnsi="宋体" w:eastAsia="宋体" w:cs="宋体"/>
                <w:szCs w:val="21"/>
              </w:rPr>
              <w:t>名称</w:t>
            </w:r>
          </w:p>
        </w:tc>
        <w:tc>
          <w:tcPr>
            <w:tcW w:w="1058" w:type="dxa"/>
            <w:noWrap w:val="0"/>
            <w:vAlign w:val="top"/>
          </w:tcPr>
          <w:p w14:paraId="399C2BE5">
            <w:pPr>
              <w:keepNext w:val="0"/>
              <w:keepLines w:val="0"/>
              <w:kinsoku/>
              <w:wordWrap/>
              <w:overflowPunct/>
              <w:topLinePunct w:val="0"/>
              <w:bidi w:val="0"/>
              <w:spacing w:line="440" w:lineRule="exact"/>
              <w:jc w:val="center"/>
              <w:textAlignment w:val="auto"/>
              <w:rPr>
                <w:rFonts w:hint="eastAsia" w:ascii="宋体" w:hAnsi="宋体" w:eastAsia="宋体" w:cs="宋体"/>
                <w:szCs w:val="21"/>
              </w:rPr>
            </w:pPr>
            <w:r>
              <w:rPr>
                <w:rFonts w:hint="eastAsia" w:ascii="宋体" w:hAnsi="宋体" w:eastAsia="宋体" w:cs="宋体"/>
                <w:szCs w:val="21"/>
              </w:rPr>
              <w:t>数量</w:t>
            </w:r>
          </w:p>
        </w:tc>
        <w:tc>
          <w:tcPr>
            <w:tcW w:w="2535" w:type="dxa"/>
            <w:noWrap w:val="0"/>
            <w:vAlign w:val="top"/>
          </w:tcPr>
          <w:p w14:paraId="349A77F5">
            <w:pPr>
              <w:keepNext w:val="0"/>
              <w:keepLines w:val="0"/>
              <w:kinsoku/>
              <w:wordWrap/>
              <w:overflowPunct/>
              <w:topLinePunct w:val="0"/>
              <w:bidi w:val="0"/>
              <w:spacing w:line="440" w:lineRule="exact"/>
              <w:jc w:val="center"/>
              <w:textAlignment w:val="auto"/>
              <w:rPr>
                <w:rFonts w:hint="eastAsia" w:ascii="宋体" w:hAnsi="宋体" w:eastAsia="宋体" w:cs="宋体"/>
                <w:szCs w:val="21"/>
              </w:rPr>
            </w:pPr>
            <w:r>
              <w:rPr>
                <w:rFonts w:hint="eastAsia" w:ascii="宋体" w:hAnsi="宋体" w:eastAsia="宋体" w:cs="宋体"/>
                <w:szCs w:val="21"/>
              </w:rPr>
              <w:t>工作要求</w:t>
            </w:r>
          </w:p>
        </w:tc>
        <w:tc>
          <w:tcPr>
            <w:tcW w:w="2167" w:type="dxa"/>
            <w:noWrap w:val="0"/>
            <w:vAlign w:val="top"/>
          </w:tcPr>
          <w:p w14:paraId="7C5EDDDF">
            <w:pPr>
              <w:keepNext w:val="0"/>
              <w:keepLines w:val="0"/>
              <w:kinsoku/>
              <w:wordWrap/>
              <w:overflowPunct/>
              <w:topLinePunct w:val="0"/>
              <w:bidi w:val="0"/>
              <w:spacing w:line="440" w:lineRule="exact"/>
              <w:jc w:val="center"/>
              <w:textAlignment w:val="auto"/>
              <w:rPr>
                <w:rFonts w:hint="eastAsia" w:ascii="宋体" w:hAnsi="宋体" w:eastAsia="宋体" w:cs="宋体"/>
                <w:szCs w:val="21"/>
              </w:rPr>
            </w:pPr>
            <w:r>
              <w:rPr>
                <w:rFonts w:hint="eastAsia" w:ascii="宋体" w:hAnsi="宋体" w:eastAsia="宋体" w:cs="宋体"/>
                <w:szCs w:val="21"/>
              </w:rPr>
              <w:t>提供时间</w:t>
            </w:r>
          </w:p>
        </w:tc>
      </w:tr>
      <w:tr w14:paraId="419B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3CAB91D">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 xml:space="preserve">1. 工程技术人员 </w:t>
            </w:r>
          </w:p>
        </w:tc>
        <w:tc>
          <w:tcPr>
            <w:tcW w:w="1058" w:type="dxa"/>
            <w:noWrap w:val="0"/>
            <w:vAlign w:val="top"/>
          </w:tcPr>
          <w:p w14:paraId="45A3A7E8">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2535" w:type="dxa"/>
            <w:noWrap w:val="0"/>
            <w:vAlign w:val="top"/>
          </w:tcPr>
          <w:p w14:paraId="4EFDB20A">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2167" w:type="dxa"/>
            <w:noWrap w:val="0"/>
            <w:vAlign w:val="top"/>
          </w:tcPr>
          <w:p w14:paraId="4B3F18F4">
            <w:pPr>
              <w:keepNext w:val="0"/>
              <w:keepLines w:val="0"/>
              <w:kinsoku/>
              <w:wordWrap/>
              <w:overflowPunct/>
              <w:topLinePunct w:val="0"/>
              <w:bidi w:val="0"/>
              <w:spacing w:line="440" w:lineRule="exact"/>
              <w:textAlignment w:val="auto"/>
              <w:rPr>
                <w:rFonts w:hint="eastAsia" w:ascii="宋体" w:hAnsi="宋体" w:eastAsia="宋体" w:cs="宋体"/>
                <w:szCs w:val="21"/>
              </w:rPr>
            </w:pPr>
          </w:p>
        </w:tc>
      </w:tr>
      <w:tr w14:paraId="1647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BEDC233">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2. 辅助工作人员</w:t>
            </w:r>
          </w:p>
        </w:tc>
        <w:tc>
          <w:tcPr>
            <w:tcW w:w="1058" w:type="dxa"/>
            <w:noWrap w:val="0"/>
            <w:vAlign w:val="top"/>
          </w:tcPr>
          <w:p w14:paraId="41161CC6">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2535" w:type="dxa"/>
            <w:noWrap w:val="0"/>
            <w:vAlign w:val="top"/>
          </w:tcPr>
          <w:p w14:paraId="62C79F6A">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2167" w:type="dxa"/>
            <w:noWrap w:val="0"/>
            <w:vAlign w:val="top"/>
          </w:tcPr>
          <w:p w14:paraId="5FB3EDE7">
            <w:pPr>
              <w:keepNext w:val="0"/>
              <w:keepLines w:val="0"/>
              <w:kinsoku/>
              <w:wordWrap/>
              <w:overflowPunct/>
              <w:topLinePunct w:val="0"/>
              <w:bidi w:val="0"/>
              <w:spacing w:line="440" w:lineRule="exact"/>
              <w:textAlignment w:val="auto"/>
              <w:rPr>
                <w:rFonts w:hint="eastAsia" w:ascii="宋体" w:hAnsi="宋体" w:eastAsia="宋体" w:cs="宋体"/>
                <w:szCs w:val="21"/>
              </w:rPr>
            </w:pPr>
          </w:p>
        </w:tc>
      </w:tr>
      <w:tr w14:paraId="6B10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7206086">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3. 其他人员</w:t>
            </w:r>
          </w:p>
        </w:tc>
        <w:tc>
          <w:tcPr>
            <w:tcW w:w="1058" w:type="dxa"/>
            <w:noWrap w:val="0"/>
            <w:vAlign w:val="top"/>
          </w:tcPr>
          <w:p w14:paraId="52BA16EC">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2535" w:type="dxa"/>
            <w:noWrap w:val="0"/>
            <w:vAlign w:val="top"/>
          </w:tcPr>
          <w:p w14:paraId="4C505419">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2167" w:type="dxa"/>
            <w:noWrap w:val="0"/>
            <w:vAlign w:val="top"/>
          </w:tcPr>
          <w:p w14:paraId="7ECB6B13">
            <w:pPr>
              <w:keepNext w:val="0"/>
              <w:keepLines w:val="0"/>
              <w:kinsoku/>
              <w:wordWrap/>
              <w:overflowPunct/>
              <w:topLinePunct w:val="0"/>
              <w:bidi w:val="0"/>
              <w:spacing w:line="440" w:lineRule="exact"/>
              <w:textAlignment w:val="auto"/>
              <w:rPr>
                <w:rFonts w:hint="eastAsia" w:ascii="宋体" w:hAnsi="宋体" w:eastAsia="宋体" w:cs="宋体"/>
                <w:szCs w:val="21"/>
              </w:rPr>
            </w:pPr>
          </w:p>
        </w:tc>
      </w:tr>
      <w:tr w14:paraId="328A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EFF6B4F">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1058" w:type="dxa"/>
            <w:noWrap w:val="0"/>
            <w:vAlign w:val="top"/>
          </w:tcPr>
          <w:p w14:paraId="5E880931">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2535" w:type="dxa"/>
            <w:noWrap w:val="0"/>
            <w:vAlign w:val="top"/>
          </w:tcPr>
          <w:p w14:paraId="2550D9FC">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2167" w:type="dxa"/>
            <w:noWrap w:val="0"/>
            <w:vAlign w:val="top"/>
          </w:tcPr>
          <w:p w14:paraId="2A5CDD7A">
            <w:pPr>
              <w:keepNext w:val="0"/>
              <w:keepLines w:val="0"/>
              <w:kinsoku/>
              <w:wordWrap/>
              <w:overflowPunct/>
              <w:topLinePunct w:val="0"/>
              <w:bidi w:val="0"/>
              <w:spacing w:line="440" w:lineRule="exact"/>
              <w:textAlignment w:val="auto"/>
              <w:rPr>
                <w:rFonts w:hint="eastAsia" w:ascii="宋体" w:hAnsi="宋体" w:eastAsia="宋体" w:cs="宋体"/>
                <w:szCs w:val="21"/>
              </w:rPr>
            </w:pPr>
          </w:p>
        </w:tc>
      </w:tr>
    </w:tbl>
    <w:p w14:paraId="681CC051">
      <w:pPr>
        <w:keepNext w:val="0"/>
        <w:keepLines w:val="0"/>
        <w:kinsoku/>
        <w:wordWrap/>
        <w:overflowPunct/>
        <w:topLinePunct w:val="0"/>
        <w:bidi w:val="0"/>
        <w:spacing w:line="440" w:lineRule="exact"/>
        <w:textAlignment w:val="auto"/>
        <w:rPr>
          <w:rFonts w:hint="eastAsia" w:ascii="宋体" w:hAnsi="宋体" w:eastAsia="宋体" w:cs="宋体"/>
          <w:b/>
          <w:kern w:val="0"/>
          <w:szCs w:val="21"/>
        </w:rPr>
      </w:pPr>
      <w:r>
        <w:rPr>
          <w:rFonts w:hint="eastAsia" w:ascii="宋体" w:hAnsi="宋体" w:eastAsia="宋体" w:cs="宋体"/>
          <w:b/>
          <w:kern w:val="0"/>
          <w:szCs w:val="21"/>
        </w:rPr>
        <w:t>B-2  委托人提供的房屋</w:t>
      </w:r>
    </w:p>
    <w:tbl>
      <w:tblPr>
        <w:tblStyle w:val="3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7837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7A83682">
            <w:pPr>
              <w:keepNext w:val="0"/>
              <w:keepLines w:val="0"/>
              <w:kinsoku/>
              <w:wordWrap/>
              <w:overflowPunct/>
              <w:topLinePunct w:val="0"/>
              <w:bidi w:val="0"/>
              <w:spacing w:line="440" w:lineRule="exact"/>
              <w:jc w:val="center"/>
              <w:textAlignment w:val="auto"/>
              <w:rPr>
                <w:rFonts w:hint="eastAsia" w:ascii="宋体" w:hAnsi="宋体" w:eastAsia="宋体" w:cs="宋体"/>
                <w:szCs w:val="21"/>
              </w:rPr>
            </w:pPr>
            <w:r>
              <w:rPr>
                <w:rFonts w:hint="eastAsia" w:ascii="宋体" w:hAnsi="宋体" w:eastAsia="宋体" w:cs="宋体"/>
                <w:szCs w:val="21"/>
              </w:rPr>
              <w:t>名称</w:t>
            </w:r>
          </w:p>
        </w:tc>
        <w:tc>
          <w:tcPr>
            <w:tcW w:w="2130" w:type="dxa"/>
            <w:noWrap w:val="0"/>
            <w:vAlign w:val="top"/>
          </w:tcPr>
          <w:p w14:paraId="2EC12CC9">
            <w:pPr>
              <w:keepNext w:val="0"/>
              <w:keepLines w:val="0"/>
              <w:kinsoku/>
              <w:wordWrap/>
              <w:overflowPunct/>
              <w:topLinePunct w:val="0"/>
              <w:bidi w:val="0"/>
              <w:spacing w:line="440" w:lineRule="exact"/>
              <w:jc w:val="center"/>
              <w:textAlignment w:val="auto"/>
              <w:rPr>
                <w:rFonts w:hint="eastAsia" w:ascii="宋体" w:hAnsi="宋体" w:eastAsia="宋体" w:cs="宋体"/>
                <w:szCs w:val="21"/>
              </w:rPr>
            </w:pPr>
            <w:r>
              <w:rPr>
                <w:rFonts w:hint="eastAsia" w:ascii="宋体" w:hAnsi="宋体" w:eastAsia="宋体" w:cs="宋体"/>
                <w:szCs w:val="21"/>
              </w:rPr>
              <w:t>数量</w:t>
            </w:r>
          </w:p>
        </w:tc>
        <w:tc>
          <w:tcPr>
            <w:tcW w:w="2130" w:type="dxa"/>
            <w:noWrap w:val="0"/>
            <w:vAlign w:val="top"/>
          </w:tcPr>
          <w:p w14:paraId="2D5C0A33">
            <w:pPr>
              <w:keepNext w:val="0"/>
              <w:keepLines w:val="0"/>
              <w:kinsoku/>
              <w:wordWrap/>
              <w:overflowPunct/>
              <w:topLinePunct w:val="0"/>
              <w:bidi w:val="0"/>
              <w:spacing w:line="440" w:lineRule="exact"/>
              <w:jc w:val="center"/>
              <w:textAlignment w:val="auto"/>
              <w:rPr>
                <w:rFonts w:hint="eastAsia" w:ascii="宋体" w:hAnsi="宋体" w:eastAsia="宋体" w:cs="宋体"/>
                <w:szCs w:val="21"/>
              </w:rPr>
            </w:pPr>
            <w:r>
              <w:rPr>
                <w:rFonts w:hint="eastAsia" w:ascii="宋体" w:hAnsi="宋体" w:eastAsia="宋体" w:cs="宋体"/>
                <w:szCs w:val="21"/>
              </w:rPr>
              <w:t>面积</w:t>
            </w:r>
          </w:p>
        </w:tc>
        <w:tc>
          <w:tcPr>
            <w:tcW w:w="1860" w:type="dxa"/>
            <w:noWrap w:val="0"/>
            <w:vAlign w:val="top"/>
          </w:tcPr>
          <w:p w14:paraId="43017509">
            <w:pPr>
              <w:keepNext w:val="0"/>
              <w:keepLines w:val="0"/>
              <w:kinsoku/>
              <w:wordWrap/>
              <w:overflowPunct/>
              <w:topLinePunct w:val="0"/>
              <w:bidi w:val="0"/>
              <w:spacing w:line="440" w:lineRule="exact"/>
              <w:jc w:val="center"/>
              <w:textAlignment w:val="auto"/>
              <w:rPr>
                <w:rFonts w:hint="eastAsia" w:ascii="宋体" w:hAnsi="宋体" w:eastAsia="宋体" w:cs="宋体"/>
                <w:szCs w:val="21"/>
              </w:rPr>
            </w:pPr>
            <w:r>
              <w:rPr>
                <w:rFonts w:hint="eastAsia" w:ascii="宋体" w:hAnsi="宋体" w:eastAsia="宋体" w:cs="宋体"/>
                <w:szCs w:val="21"/>
              </w:rPr>
              <w:t>提供时间</w:t>
            </w:r>
          </w:p>
        </w:tc>
      </w:tr>
      <w:tr w14:paraId="2A6B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AC278D2">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1. 办公用房</w:t>
            </w:r>
          </w:p>
        </w:tc>
        <w:tc>
          <w:tcPr>
            <w:tcW w:w="2130" w:type="dxa"/>
            <w:noWrap w:val="0"/>
            <w:vAlign w:val="top"/>
          </w:tcPr>
          <w:p w14:paraId="724BBD93">
            <w:pPr>
              <w:keepNext w:val="0"/>
              <w:keepLines w:val="0"/>
              <w:widowControl/>
              <w:kinsoku/>
              <w:wordWrap/>
              <w:overflowPunct/>
              <w:topLinePunct w:val="0"/>
              <w:bidi w:val="0"/>
              <w:spacing w:line="440" w:lineRule="exact"/>
              <w:jc w:val="center"/>
              <w:textAlignment w:val="auto"/>
              <w:rPr>
                <w:rFonts w:hint="eastAsia" w:ascii="宋体" w:hAnsi="宋体" w:eastAsia="宋体" w:cs="宋体"/>
                <w:szCs w:val="21"/>
              </w:rPr>
            </w:pPr>
          </w:p>
        </w:tc>
        <w:tc>
          <w:tcPr>
            <w:tcW w:w="2130" w:type="dxa"/>
            <w:noWrap w:val="0"/>
            <w:vAlign w:val="top"/>
          </w:tcPr>
          <w:p w14:paraId="0C846EDC">
            <w:pPr>
              <w:keepNext w:val="0"/>
              <w:keepLines w:val="0"/>
              <w:widowControl/>
              <w:kinsoku/>
              <w:wordWrap/>
              <w:overflowPunct/>
              <w:topLinePunct w:val="0"/>
              <w:bidi w:val="0"/>
              <w:spacing w:line="440" w:lineRule="exact"/>
              <w:jc w:val="center"/>
              <w:textAlignment w:val="auto"/>
              <w:rPr>
                <w:rFonts w:hint="eastAsia" w:ascii="宋体" w:hAnsi="宋体" w:eastAsia="宋体" w:cs="宋体"/>
                <w:szCs w:val="21"/>
              </w:rPr>
            </w:pPr>
          </w:p>
        </w:tc>
        <w:tc>
          <w:tcPr>
            <w:tcW w:w="1860" w:type="dxa"/>
            <w:noWrap w:val="0"/>
            <w:vAlign w:val="top"/>
          </w:tcPr>
          <w:p w14:paraId="291E3E4A">
            <w:pPr>
              <w:keepNext w:val="0"/>
              <w:keepLines w:val="0"/>
              <w:widowControl/>
              <w:kinsoku/>
              <w:wordWrap/>
              <w:overflowPunct/>
              <w:topLinePunct w:val="0"/>
              <w:bidi w:val="0"/>
              <w:spacing w:line="440" w:lineRule="exact"/>
              <w:jc w:val="left"/>
              <w:textAlignment w:val="auto"/>
              <w:rPr>
                <w:rFonts w:hint="eastAsia" w:ascii="宋体" w:hAnsi="宋体" w:eastAsia="宋体" w:cs="宋体"/>
                <w:szCs w:val="21"/>
              </w:rPr>
            </w:pPr>
          </w:p>
        </w:tc>
      </w:tr>
      <w:tr w14:paraId="5623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D054C70">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2. 生活用房</w:t>
            </w:r>
          </w:p>
        </w:tc>
        <w:tc>
          <w:tcPr>
            <w:tcW w:w="2130" w:type="dxa"/>
            <w:noWrap w:val="0"/>
            <w:vAlign w:val="top"/>
          </w:tcPr>
          <w:p w14:paraId="30651509">
            <w:pPr>
              <w:keepNext w:val="0"/>
              <w:keepLines w:val="0"/>
              <w:widowControl/>
              <w:kinsoku/>
              <w:wordWrap/>
              <w:overflowPunct/>
              <w:topLinePunct w:val="0"/>
              <w:bidi w:val="0"/>
              <w:spacing w:line="440" w:lineRule="exact"/>
              <w:jc w:val="center"/>
              <w:textAlignment w:val="auto"/>
              <w:rPr>
                <w:rFonts w:hint="eastAsia" w:ascii="宋体" w:hAnsi="宋体" w:eastAsia="宋体" w:cs="宋体"/>
                <w:szCs w:val="21"/>
              </w:rPr>
            </w:pPr>
          </w:p>
        </w:tc>
        <w:tc>
          <w:tcPr>
            <w:tcW w:w="2130" w:type="dxa"/>
            <w:noWrap w:val="0"/>
            <w:vAlign w:val="top"/>
          </w:tcPr>
          <w:p w14:paraId="412E2ECE">
            <w:pPr>
              <w:keepNext w:val="0"/>
              <w:keepLines w:val="0"/>
              <w:widowControl/>
              <w:kinsoku/>
              <w:wordWrap/>
              <w:overflowPunct/>
              <w:topLinePunct w:val="0"/>
              <w:bidi w:val="0"/>
              <w:spacing w:line="440" w:lineRule="exact"/>
              <w:jc w:val="center"/>
              <w:textAlignment w:val="auto"/>
              <w:rPr>
                <w:rFonts w:hint="eastAsia" w:ascii="宋体" w:hAnsi="宋体" w:eastAsia="宋体" w:cs="宋体"/>
                <w:szCs w:val="21"/>
              </w:rPr>
            </w:pPr>
          </w:p>
        </w:tc>
        <w:tc>
          <w:tcPr>
            <w:tcW w:w="1860" w:type="dxa"/>
            <w:noWrap w:val="0"/>
            <w:vAlign w:val="top"/>
          </w:tcPr>
          <w:p w14:paraId="2DAD4533">
            <w:pPr>
              <w:keepNext w:val="0"/>
              <w:keepLines w:val="0"/>
              <w:widowControl/>
              <w:kinsoku/>
              <w:wordWrap/>
              <w:overflowPunct/>
              <w:topLinePunct w:val="0"/>
              <w:bidi w:val="0"/>
              <w:spacing w:line="440" w:lineRule="exact"/>
              <w:jc w:val="left"/>
              <w:textAlignment w:val="auto"/>
              <w:rPr>
                <w:rFonts w:hint="eastAsia" w:ascii="宋体" w:hAnsi="宋体" w:eastAsia="宋体" w:cs="宋体"/>
                <w:szCs w:val="21"/>
              </w:rPr>
            </w:pPr>
          </w:p>
        </w:tc>
      </w:tr>
      <w:tr w14:paraId="4C40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3A74AC5">
            <w:pPr>
              <w:keepNext w:val="0"/>
              <w:keepLines w:val="0"/>
              <w:kinsoku/>
              <w:wordWrap/>
              <w:overflowPunct/>
              <w:topLinePunct w:val="0"/>
              <w:bidi w:val="0"/>
              <w:spacing w:line="440" w:lineRule="exact"/>
              <w:textAlignment w:val="auto"/>
              <w:rPr>
                <w:rFonts w:hint="eastAsia" w:ascii="宋体" w:hAnsi="宋体" w:eastAsia="宋体" w:cs="宋体"/>
                <w:dstrike/>
                <w:szCs w:val="21"/>
              </w:rPr>
            </w:pPr>
            <w:r>
              <w:rPr>
                <w:rFonts w:hint="eastAsia" w:ascii="宋体" w:hAnsi="宋体" w:eastAsia="宋体" w:cs="宋体"/>
                <w:szCs w:val="21"/>
              </w:rPr>
              <w:t>3. 试验用房</w:t>
            </w:r>
          </w:p>
        </w:tc>
        <w:tc>
          <w:tcPr>
            <w:tcW w:w="2130" w:type="dxa"/>
            <w:noWrap w:val="0"/>
            <w:vAlign w:val="top"/>
          </w:tcPr>
          <w:p w14:paraId="3C4A6720">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2130" w:type="dxa"/>
            <w:noWrap w:val="0"/>
            <w:vAlign w:val="top"/>
          </w:tcPr>
          <w:p w14:paraId="41E08A06">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1860" w:type="dxa"/>
            <w:noWrap w:val="0"/>
            <w:vAlign w:val="top"/>
          </w:tcPr>
          <w:p w14:paraId="3180E8C4">
            <w:pPr>
              <w:keepNext w:val="0"/>
              <w:keepLines w:val="0"/>
              <w:kinsoku/>
              <w:wordWrap/>
              <w:overflowPunct/>
              <w:topLinePunct w:val="0"/>
              <w:bidi w:val="0"/>
              <w:spacing w:line="440" w:lineRule="exact"/>
              <w:textAlignment w:val="auto"/>
              <w:rPr>
                <w:rFonts w:hint="eastAsia" w:ascii="宋体" w:hAnsi="宋体" w:eastAsia="宋体" w:cs="宋体"/>
                <w:szCs w:val="21"/>
              </w:rPr>
            </w:pPr>
          </w:p>
        </w:tc>
      </w:tr>
      <w:tr w14:paraId="1398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B1000A1">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4. 样品用房</w:t>
            </w:r>
          </w:p>
        </w:tc>
        <w:tc>
          <w:tcPr>
            <w:tcW w:w="2130" w:type="dxa"/>
            <w:noWrap w:val="0"/>
            <w:vAlign w:val="top"/>
          </w:tcPr>
          <w:p w14:paraId="204C306B">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2130" w:type="dxa"/>
            <w:noWrap w:val="0"/>
            <w:vAlign w:val="top"/>
          </w:tcPr>
          <w:p w14:paraId="2F76F435">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1860" w:type="dxa"/>
            <w:noWrap w:val="0"/>
            <w:vAlign w:val="top"/>
          </w:tcPr>
          <w:p w14:paraId="37F53955">
            <w:pPr>
              <w:keepNext w:val="0"/>
              <w:keepLines w:val="0"/>
              <w:kinsoku/>
              <w:wordWrap/>
              <w:overflowPunct/>
              <w:topLinePunct w:val="0"/>
              <w:bidi w:val="0"/>
              <w:spacing w:line="440" w:lineRule="exact"/>
              <w:textAlignment w:val="auto"/>
              <w:rPr>
                <w:rFonts w:hint="eastAsia" w:ascii="宋体" w:hAnsi="宋体" w:eastAsia="宋体" w:cs="宋体"/>
                <w:szCs w:val="21"/>
              </w:rPr>
            </w:pPr>
          </w:p>
        </w:tc>
      </w:tr>
      <w:tr w14:paraId="629A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1F63257">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2130" w:type="dxa"/>
            <w:noWrap w:val="0"/>
            <w:vAlign w:val="top"/>
          </w:tcPr>
          <w:p w14:paraId="379DB83A">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2130" w:type="dxa"/>
            <w:noWrap w:val="0"/>
            <w:vAlign w:val="top"/>
          </w:tcPr>
          <w:p w14:paraId="5516A9E1">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1860" w:type="dxa"/>
            <w:noWrap w:val="0"/>
            <w:vAlign w:val="top"/>
          </w:tcPr>
          <w:p w14:paraId="6701BD29">
            <w:pPr>
              <w:keepNext w:val="0"/>
              <w:keepLines w:val="0"/>
              <w:kinsoku/>
              <w:wordWrap/>
              <w:overflowPunct/>
              <w:topLinePunct w:val="0"/>
              <w:bidi w:val="0"/>
              <w:spacing w:line="440" w:lineRule="exact"/>
              <w:textAlignment w:val="auto"/>
              <w:rPr>
                <w:rFonts w:hint="eastAsia" w:ascii="宋体" w:hAnsi="宋体" w:eastAsia="宋体" w:cs="宋体"/>
                <w:szCs w:val="21"/>
              </w:rPr>
            </w:pPr>
          </w:p>
        </w:tc>
      </w:tr>
      <w:tr w14:paraId="6DD7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F11B78F">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用餐及其他生活条件</w:t>
            </w:r>
          </w:p>
        </w:tc>
        <w:tc>
          <w:tcPr>
            <w:tcW w:w="6120" w:type="dxa"/>
            <w:gridSpan w:val="3"/>
            <w:noWrap w:val="0"/>
            <w:vAlign w:val="top"/>
          </w:tcPr>
          <w:p w14:paraId="7201900B">
            <w:pPr>
              <w:keepNext w:val="0"/>
              <w:keepLines w:val="0"/>
              <w:kinsoku/>
              <w:wordWrap/>
              <w:overflowPunct/>
              <w:topLinePunct w:val="0"/>
              <w:bidi w:val="0"/>
              <w:spacing w:line="440" w:lineRule="exact"/>
              <w:textAlignment w:val="auto"/>
              <w:rPr>
                <w:rFonts w:hint="eastAsia" w:ascii="宋体" w:hAnsi="宋体" w:eastAsia="宋体" w:cs="宋体"/>
                <w:szCs w:val="21"/>
              </w:rPr>
            </w:pPr>
          </w:p>
        </w:tc>
      </w:tr>
    </w:tbl>
    <w:p w14:paraId="2803486D">
      <w:pPr>
        <w:keepNext w:val="0"/>
        <w:keepLines w:val="0"/>
        <w:kinsoku/>
        <w:wordWrap/>
        <w:overflowPunct/>
        <w:topLinePunct w:val="0"/>
        <w:bidi w:val="0"/>
        <w:spacing w:line="440" w:lineRule="exact"/>
        <w:textAlignment w:val="auto"/>
        <w:rPr>
          <w:rFonts w:hint="eastAsia" w:ascii="宋体" w:hAnsi="宋体" w:eastAsia="宋体" w:cs="宋体"/>
          <w:b/>
          <w:kern w:val="0"/>
          <w:szCs w:val="21"/>
        </w:rPr>
      </w:pPr>
      <w:r>
        <w:rPr>
          <w:rFonts w:hint="eastAsia" w:ascii="宋体" w:hAnsi="宋体" w:eastAsia="宋体" w:cs="宋体"/>
          <w:b/>
          <w:kern w:val="0"/>
          <w:szCs w:val="21"/>
        </w:rPr>
        <w:br w:type="page"/>
      </w:r>
    </w:p>
    <w:p w14:paraId="7EFB6D31">
      <w:pPr>
        <w:keepNext w:val="0"/>
        <w:keepLines w:val="0"/>
        <w:kinsoku/>
        <w:wordWrap/>
        <w:overflowPunct/>
        <w:topLinePunct w:val="0"/>
        <w:bidi w:val="0"/>
        <w:spacing w:line="440" w:lineRule="exact"/>
        <w:textAlignment w:val="auto"/>
        <w:rPr>
          <w:rFonts w:hint="eastAsia" w:ascii="宋体" w:hAnsi="宋体" w:eastAsia="宋体" w:cs="宋体"/>
          <w:b/>
          <w:kern w:val="0"/>
          <w:szCs w:val="21"/>
        </w:rPr>
      </w:pPr>
      <w:r>
        <w:rPr>
          <w:rFonts w:hint="eastAsia" w:ascii="宋体" w:hAnsi="宋体" w:eastAsia="宋体" w:cs="宋体"/>
          <w:b/>
          <w:kern w:val="0"/>
          <w:szCs w:val="21"/>
        </w:rPr>
        <w:t>B-3  委托人提供的资料</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0"/>
        <w:gridCol w:w="1383"/>
        <w:gridCol w:w="1847"/>
        <w:gridCol w:w="2082"/>
      </w:tblGrid>
      <w:tr w14:paraId="54C6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noWrap w:val="0"/>
            <w:vAlign w:val="top"/>
          </w:tcPr>
          <w:p w14:paraId="03CD8714">
            <w:pPr>
              <w:keepNext w:val="0"/>
              <w:keepLines w:val="0"/>
              <w:kinsoku/>
              <w:wordWrap/>
              <w:overflowPunct/>
              <w:topLinePunct w:val="0"/>
              <w:bidi w:val="0"/>
              <w:spacing w:line="44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名称</w:t>
            </w:r>
          </w:p>
        </w:tc>
        <w:tc>
          <w:tcPr>
            <w:tcW w:w="1383" w:type="dxa"/>
            <w:noWrap w:val="0"/>
            <w:vAlign w:val="top"/>
          </w:tcPr>
          <w:p w14:paraId="2803E5C8">
            <w:pPr>
              <w:keepNext w:val="0"/>
              <w:keepLines w:val="0"/>
              <w:kinsoku/>
              <w:wordWrap/>
              <w:overflowPunct/>
              <w:topLinePunct w:val="0"/>
              <w:bidi w:val="0"/>
              <w:spacing w:line="44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份数</w:t>
            </w:r>
          </w:p>
        </w:tc>
        <w:tc>
          <w:tcPr>
            <w:tcW w:w="1847" w:type="dxa"/>
            <w:noWrap w:val="0"/>
            <w:vAlign w:val="top"/>
          </w:tcPr>
          <w:p w14:paraId="41FB8AC4">
            <w:pPr>
              <w:keepNext w:val="0"/>
              <w:keepLines w:val="0"/>
              <w:kinsoku/>
              <w:wordWrap/>
              <w:overflowPunct/>
              <w:topLinePunct w:val="0"/>
              <w:bidi w:val="0"/>
              <w:spacing w:line="44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提供时间</w:t>
            </w:r>
          </w:p>
        </w:tc>
        <w:tc>
          <w:tcPr>
            <w:tcW w:w="2082" w:type="dxa"/>
            <w:noWrap w:val="0"/>
            <w:vAlign w:val="top"/>
          </w:tcPr>
          <w:p w14:paraId="2FA45C60">
            <w:pPr>
              <w:keepNext w:val="0"/>
              <w:keepLines w:val="0"/>
              <w:kinsoku/>
              <w:wordWrap/>
              <w:overflowPunct/>
              <w:topLinePunct w:val="0"/>
              <w:bidi w:val="0"/>
              <w:spacing w:line="44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备注</w:t>
            </w:r>
          </w:p>
        </w:tc>
      </w:tr>
      <w:tr w14:paraId="0B66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noWrap w:val="0"/>
            <w:vAlign w:val="top"/>
          </w:tcPr>
          <w:p w14:paraId="76F6C97D">
            <w:pPr>
              <w:keepNext w:val="0"/>
              <w:keepLines w:val="0"/>
              <w:kinsoku/>
              <w:wordWrap/>
              <w:overflowPunct/>
              <w:topLinePunct w:val="0"/>
              <w:bidi w:val="0"/>
              <w:spacing w:line="440" w:lineRule="exact"/>
              <w:textAlignment w:val="auto"/>
              <w:rPr>
                <w:rFonts w:hint="eastAsia" w:ascii="宋体" w:hAnsi="宋体" w:eastAsia="宋体" w:cs="宋体"/>
                <w:kern w:val="0"/>
                <w:szCs w:val="21"/>
              </w:rPr>
            </w:pPr>
            <w:r>
              <w:rPr>
                <w:rFonts w:hint="eastAsia" w:ascii="宋体" w:hAnsi="宋体" w:eastAsia="宋体" w:cs="宋体"/>
                <w:kern w:val="0"/>
                <w:szCs w:val="21"/>
              </w:rPr>
              <w:t>1.工程立项文件</w:t>
            </w:r>
          </w:p>
        </w:tc>
        <w:tc>
          <w:tcPr>
            <w:tcW w:w="1383" w:type="dxa"/>
            <w:noWrap w:val="0"/>
            <w:vAlign w:val="top"/>
          </w:tcPr>
          <w:p w14:paraId="756F2566">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1847" w:type="dxa"/>
            <w:noWrap w:val="0"/>
            <w:vAlign w:val="top"/>
          </w:tcPr>
          <w:p w14:paraId="71E913E5">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2082" w:type="dxa"/>
            <w:noWrap w:val="0"/>
            <w:vAlign w:val="top"/>
          </w:tcPr>
          <w:p w14:paraId="5587F2D6">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r>
      <w:tr w14:paraId="5562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noWrap w:val="0"/>
            <w:vAlign w:val="top"/>
          </w:tcPr>
          <w:p w14:paraId="45AC44D8">
            <w:pPr>
              <w:keepNext w:val="0"/>
              <w:keepLines w:val="0"/>
              <w:kinsoku/>
              <w:wordWrap/>
              <w:overflowPunct/>
              <w:topLinePunct w:val="0"/>
              <w:bidi w:val="0"/>
              <w:spacing w:line="440" w:lineRule="exact"/>
              <w:textAlignment w:val="auto"/>
              <w:rPr>
                <w:rFonts w:hint="eastAsia" w:ascii="宋体" w:hAnsi="宋体" w:eastAsia="宋体" w:cs="宋体"/>
                <w:kern w:val="0"/>
                <w:szCs w:val="21"/>
              </w:rPr>
            </w:pPr>
            <w:r>
              <w:rPr>
                <w:rFonts w:hint="eastAsia" w:ascii="宋体" w:hAnsi="宋体" w:eastAsia="宋体" w:cs="宋体"/>
                <w:kern w:val="0"/>
                <w:szCs w:val="21"/>
              </w:rPr>
              <w:t>2.工程勘察文件</w:t>
            </w:r>
          </w:p>
        </w:tc>
        <w:tc>
          <w:tcPr>
            <w:tcW w:w="1383" w:type="dxa"/>
            <w:noWrap w:val="0"/>
            <w:vAlign w:val="top"/>
          </w:tcPr>
          <w:p w14:paraId="5C93CABB">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1847" w:type="dxa"/>
            <w:noWrap w:val="0"/>
            <w:vAlign w:val="top"/>
          </w:tcPr>
          <w:p w14:paraId="389B638F">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2082" w:type="dxa"/>
            <w:noWrap w:val="0"/>
            <w:vAlign w:val="top"/>
          </w:tcPr>
          <w:p w14:paraId="3C5D1D45">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r>
      <w:tr w14:paraId="69CA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noWrap w:val="0"/>
            <w:vAlign w:val="top"/>
          </w:tcPr>
          <w:p w14:paraId="6074C639">
            <w:pPr>
              <w:keepNext w:val="0"/>
              <w:keepLines w:val="0"/>
              <w:kinsoku/>
              <w:wordWrap/>
              <w:overflowPunct/>
              <w:topLinePunct w:val="0"/>
              <w:bidi w:val="0"/>
              <w:spacing w:line="440" w:lineRule="exact"/>
              <w:textAlignment w:val="auto"/>
              <w:rPr>
                <w:rFonts w:hint="eastAsia" w:ascii="宋体" w:hAnsi="宋体" w:eastAsia="宋体" w:cs="宋体"/>
                <w:kern w:val="0"/>
                <w:szCs w:val="21"/>
              </w:rPr>
            </w:pPr>
            <w:r>
              <w:rPr>
                <w:rFonts w:hint="eastAsia" w:ascii="宋体" w:hAnsi="宋体" w:eastAsia="宋体" w:cs="宋体"/>
                <w:kern w:val="0"/>
                <w:szCs w:val="21"/>
              </w:rPr>
              <w:t>3.工程设计及施工图纸</w:t>
            </w:r>
          </w:p>
        </w:tc>
        <w:tc>
          <w:tcPr>
            <w:tcW w:w="1383" w:type="dxa"/>
            <w:noWrap w:val="0"/>
            <w:vAlign w:val="top"/>
          </w:tcPr>
          <w:p w14:paraId="4D02500E">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1847" w:type="dxa"/>
            <w:noWrap w:val="0"/>
            <w:vAlign w:val="top"/>
          </w:tcPr>
          <w:p w14:paraId="1751A3F6">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2082" w:type="dxa"/>
            <w:noWrap w:val="0"/>
            <w:vAlign w:val="top"/>
          </w:tcPr>
          <w:p w14:paraId="67545963">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r>
      <w:tr w14:paraId="5388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noWrap w:val="0"/>
            <w:vAlign w:val="top"/>
          </w:tcPr>
          <w:p w14:paraId="38AAF072">
            <w:pPr>
              <w:keepNext w:val="0"/>
              <w:keepLines w:val="0"/>
              <w:kinsoku/>
              <w:wordWrap/>
              <w:overflowPunct/>
              <w:topLinePunct w:val="0"/>
              <w:bidi w:val="0"/>
              <w:spacing w:line="440" w:lineRule="exact"/>
              <w:textAlignment w:val="auto"/>
              <w:rPr>
                <w:rFonts w:hint="eastAsia" w:ascii="宋体" w:hAnsi="宋体" w:eastAsia="宋体" w:cs="宋体"/>
                <w:kern w:val="0"/>
                <w:szCs w:val="21"/>
              </w:rPr>
            </w:pPr>
            <w:r>
              <w:rPr>
                <w:rFonts w:hint="eastAsia" w:ascii="宋体" w:hAnsi="宋体" w:eastAsia="宋体" w:cs="宋体"/>
                <w:kern w:val="0"/>
                <w:szCs w:val="21"/>
              </w:rPr>
              <w:t>4.工程承包合同及其他相关合同</w:t>
            </w:r>
          </w:p>
        </w:tc>
        <w:tc>
          <w:tcPr>
            <w:tcW w:w="1383" w:type="dxa"/>
            <w:noWrap w:val="0"/>
            <w:vAlign w:val="top"/>
          </w:tcPr>
          <w:p w14:paraId="4902A2FF">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1847" w:type="dxa"/>
            <w:noWrap w:val="0"/>
            <w:vAlign w:val="top"/>
          </w:tcPr>
          <w:p w14:paraId="3E655258">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2082" w:type="dxa"/>
            <w:noWrap w:val="0"/>
            <w:vAlign w:val="top"/>
          </w:tcPr>
          <w:p w14:paraId="52453C99">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r>
      <w:tr w14:paraId="6B6F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noWrap w:val="0"/>
            <w:vAlign w:val="top"/>
          </w:tcPr>
          <w:p w14:paraId="04BEB36A">
            <w:pPr>
              <w:keepNext w:val="0"/>
              <w:keepLines w:val="0"/>
              <w:kinsoku/>
              <w:wordWrap/>
              <w:overflowPunct/>
              <w:topLinePunct w:val="0"/>
              <w:bidi w:val="0"/>
              <w:spacing w:line="440" w:lineRule="exact"/>
              <w:textAlignment w:val="auto"/>
              <w:rPr>
                <w:rFonts w:hint="eastAsia" w:ascii="宋体" w:hAnsi="宋体" w:eastAsia="宋体" w:cs="宋体"/>
                <w:kern w:val="0"/>
                <w:szCs w:val="21"/>
              </w:rPr>
            </w:pPr>
            <w:r>
              <w:rPr>
                <w:rFonts w:hint="eastAsia" w:ascii="宋体" w:hAnsi="宋体" w:eastAsia="宋体" w:cs="宋体"/>
                <w:kern w:val="0"/>
                <w:szCs w:val="21"/>
              </w:rPr>
              <w:t>5.施工许可文件</w:t>
            </w:r>
          </w:p>
        </w:tc>
        <w:tc>
          <w:tcPr>
            <w:tcW w:w="1383" w:type="dxa"/>
            <w:noWrap w:val="0"/>
            <w:vAlign w:val="top"/>
          </w:tcPr>
          <w:p w14:paraId="065A1AF0">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1847" w:type="dxa"/>
            <w:noWrap w:val="0"/>
            <w:vAlign w:val="top"/>
          </w:tcPr>
          <w:p w14:paraId="7A19A130">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2082" w:type="dxa"/>
            <w:noWrap w:val="0"/>
            <w:vAlign w:val="top"/>
          </w:tcPr>
          <w:p w14:paraId="435B99AC">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r>
      <w:tr w14:paraId="3DF8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noWrap w:val="0"/>
            <w:vAlign w:val="top"/>
          </w:tcPr>
          <w:p w14:paraId="3113EF46">
            <w:pPr>
              <w:keepNext w:val="0"/>
              <w:keepLines w:val="0"/>
              <w:kinsoku/>
              <w:wordWrap/>
              <w:overflowPunct/>
              <w:topLinePunct w:val="0"/>
              <w:bidi w:val="0"/>
              <w:spacing w:line="440" w:lineRule="exact"/>
              <w:textAlignment w:val="auto"/>
              <w:rPr>
                <w:rFonts w:hint="eastAsia" w:ascii="宋体" w:hAnsi="宋体" w:eastAsia="宋体" w:cs="宋体"/>
                <w:kern w:val="0"/>
                <w:szCs w:val="21"/>
              </w:rPr>
            </w:pPr>
            <w:r>
              <w:rPr>
                <w:rFonts w:hint="eastAsia" w:ascii="宋体" w:hAnsi="宋体" w:eastAsia="宋体" w:cs="宋体"/>
                <w:kern w:val="0"/>
                <w:szCs w:val="21"/>
              </w:rPr>
              <w:t>6.其他文件</w:t>
            </w:r>
          </w:p>
        </w:tc>
        <w:tc>
          <w:tcPr>
            <w:tcW w:w="1383" w:type="dxa"/>
            <w:noWrap w:val="0"/>
            <w:vAlign w:val="top"/>
          </w:tcPr>
          <w:p w14:paraId="32D6BC8C">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1847" w:type="dxa"/>
            <w:noWrap w:val="0"/>
            <w:vAlign w:val="top"/>
          </w:tcPr>
          <w:p w14:paraId="73B2552D">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2082" w:type="dxa"/>
            <w:noWrap w:val="0"/>
            <w:vAlign w:val="top"/>
          </w:tcPr>
          <w:p w14:paraId="76CA2CC2">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r>
      <w:tr w14:paraId="7160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noWrap w:val="0"/>
            <w:vAlign w:val="top"/>
          </w:tcPr>
          <w:p w14:paraId="267E06EC">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1383" w:type="dxa"/>
            <w:noWrap w:val="0"/>
            <w:vAlign w:val="top"/>
          </w:tcPr>
          <w:p w14:paraId="0DB76728">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1847" w:type="dxa"/>
            <w:noWrap w:val="0"/>
            <w:vAlign w:val="top"/>
          </w:tcPr>
          <w:p w14:paraId="438A563E">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c>
          <w:tcPr>
            <w:tcW w:w="2082" w:type="dxa"/>
            <w:noWrap w:val="0"/>
            <w:vAlign w:val="top"/>
          </w:tcPr>
          <w:p w14:paraId="06C6E602">
            <w:pPr>
              <w:keepNext w:val="0"/>
              <w:keepLines w:val="0"/>
              <w:kinsoku/>
              <w:wordWrap/>
              <w:overflowPunct/>
              <w:topLinePunct w:val="0"/>
              <w:bidi w:val="0"/>
              <w:spacing w:line="440" w:lineRule="exact"/>
              <w:textAlignment w:val="auto"/>
              <w:rPr>
                <w:rFonts w:hint="eastAsia" w:ascii="宋体" w:hAnsi="宋体" w:eastAsia="宋体" w:cs="宋体"/>
                <w:kern w:val="0"/>
                <w:szCs w:val="21"/>
              </w:rPr>
            </w:pPr>
          </w:p>
        </w:tc>
      </w:tr>
    </w:tbl>
    <w:p w14:paraId="36CA3914">
      <w:pPr>
        <w:keepNext w:val="0"/>
        <w:keepLines w:val="0"/>
        <w:kinsoku/>
        <w:wordWrap/>
        <w:overflowPunct/>
        <w:topLinePunct w:val="0"/>
        <w:bidi w:val="0"/>
        <w:spacing w:line="440" w:lineRule="exact"/>
        <w:textAlignment w:val="auto"/>
        <w:rPr>
          <w:rFonts w:hint="eastAsia" w:ascii="宋体" w:hAnsi="宋体" w:eastAsia="宋体" w:cs="宋体"/>
          <w:b/>
          <w:kern w:val="0"/>
          <w:szCs w:val="21"/>
        </w:rPr>
      </w:pPr>
    </w:p>
    <w:p w14:paraId="1FF3C1C2">
      <w:pPr>
        <w:keepNext w:val="0"/>
        <w:keepLines w:val="0"/>
        <w:kinsoku/>
        <w:wordWrap/>
        <w:overflowPunct/>
        <w:topLinePunct w:val="0"/>
        <w:bidi w:val="0"/>
        <w:spacing w:line="440" w:lineRule="exact"/>
        <w:textAlignment w:val="auto"/>
        <w:rPr>
          <w:rFonts w:hint="eastAsia" w:ascii="宋体" w:hAnsi="宋体" w:eastAsia="宋体" w:cs="宋体"/>
          <w:b/>
          <w:kern w:val="0"/>
          <w:szCs w:val="21"/>
        </w:rPr>
      </w:pPr>
      <w:r>
        <w:rPr>
          <w:rFonts w:hint="eastAsia" w:ascii="宋体" w:hAnsi="宋体" w:eastAsia="宋体" w:cs="宋体"/>
          <w:b/>
          <w:kern w:val="0"/>
          <w:szCs w:val="21"/>
        </w:rPr>
        <w:t>B-4 委托人提供的设备</w:t>
      </w:r>
    </w:p>
    <w:tbl>
      <w:tblPr>
        <w:tblStyle w:val="3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0E42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A53C905">
            <w:pPr>
              <w:keepNext w:val="0"/>
              <w:keepLines w:val="0"/>
              <w:kinsoku/>
              <w:wordWrap/>
              <w:overflowPunct/>
              <w:topLinePunct w:val="0"/>
              <w:bidi w:val="0"/>
              <w:spacing w:line="440" w:lineRule="exact"/>
              <w:jc w:val="center"/>
              <w:textAlignment w:val="auto"/>
              <w:rPr>
                <w:rFonts w:hint="eastAsia" w:ascii="宋体" w:hAnsi="宋体" w:eastAsia="宋体" w:cs="宋体"/>
                <w:szCs w:val="21"/>
              </w:rPr>
            </w:pPr>
            <w:r>
              <w:rPr>
                <w:rFonts w:hint="eastAsia" w:ascii="宋体" w:hAnsi="宋体" w:eastAsia="宋体" w:cs="宋体"/>
                <w:szCs w:val="21"/>
              </w:rPr>
              <w:t>名称</w:t>
            </w:r>
          </w:p>
        </w:tc>
        <w:tc>
          <w:tcPr>
            <w:tcW w:w="1590" w:type="dxa"/>
            <w:noWrap w:val="0"/>
            <w:vAlign w:val="top"/>
          </w:tcPr>
          <w:p w14:paraId="1DB6FD20">
            <w:pPr>
              <w:keepNext w:val="0"/>
              <w:keepLines w:val="0"/>
              <w:kinsoku/>
              <w:wordWrap/>
              <w:overflowPunct/>
              <w:topLinePunct w:val="0"/>
              <w:bidi w:val="0"/>
              <w:spacing w:line="440" w:lineRule="exact"/>
              <w:jc w:val="center"/>
              <w:textAlignment w:val="auto"/>
              <w:rPr>
                <w:rFonts w:hint="eastAsia" w:ascii="宋体" w:hAnsi="宋体" w:eastAsia="宋体" w:cs="宋体"/>
                <w:szCs w:val="21"/>
              </w:rPr>
            </w:pPr>
            <w:r>
              <w:rPr>
                <w:rFonts w:hint="eastAsia" w:ascii="宋体" w:hAnsi="宋体" w:eastAsia="宋体" w:cs="宋体"/>
                <w:szCs w:val="21"/>
              </w:rPr>
              <w:t>数量</w:t>
            </w:r>
          </w:p>
        </w:tc>
        <w:tc>
          <w:tcPr>
            <w:tcW w:w="2130" w:type="dxa"/>
            <w:noWrap w:val="0"/>
            <w:vAlign w:val="top"/>
          </w:tcPr>
          <w:p w14:paraId="7E5CB32D">
            <w:pPr>
              <w:keepNext w:val="0"/>
              <w:keepLines w:val="0"/>
              <w:kinsoku/>
              <w:wordWrap/>
              <w:overflowPunct/>
              <w:topLinePunct w:val="0"/>
              <w:bidi w:val="0"/>
              <w:spacing w:line="440" w:lineRule="exact"/>
              <w:jc w:val="center"/>
              <w:textAlignment w:val="auto"/>
              <w:rPr>
                <w:rFonts w:hint="eastAsia" w:ascii="宋体" w:hAnsi="宋体" w:eastAsia="宋体" w:cs="宋体"/>
                <w:szCs w:val="21"/>
              </w:rPr>
            </w:pPr>
            <w:r>
              <w:rPr>
                <w:rFonts w:hint="eastAsia" w:ascii="宋体" w:hAnsi="宋体" w:eastAsia="宋体" w:cs="宋体"/>
                <w:szCs w:val="21"/>
              </w:rPr>
              <w:t>型号与规格</w:t>
            </w:r>
          </w:p>
        </w:tc>
        <w:tc>
          <w:tcPr>
            <w:tcW w:w="1860" w:type="dxa"/>
            <w:noWrap w:val="0"/>
            <w:vAlign w:val="top"/>
          </w:tcPr>
          <w:p w14:paraId="2865BE53">
            <w:pPr>
              <w:keepNext w:val="0"/>
              <w:keepLines w:val="0"/>
              <w:kinsoku/>
              <w:wordWrap/>
              <w:overflowPunct/>
              <w:topLinePunct w:val="0"/>
              <w:bidi w:val="0"/>
              <w:spacing w:line="440" w:lineRule="exact"/>
              <w:jc w:val="center"/>
              <w:textAlignment w:val="auto"/>
              <w:rPr>
                <w:rFonts w:hint="eastAsia" w:ascii="宋体" w:hAnsi="宋体" w:eastAsia="宋体" w:cs="宋体"/>
                <w:szCs w:val="21"/>
              </w:rPr>
            </w:pPr>
            <w:r>
              <w:rPr>
                <w:rFonts w:hint="eastAsia" w:ascii="宋体" w:hAnsi="宋体" w:eastAsia="宋体" w:cs="宋体"/>
                <w:szCs w:val="21"/>
              </w:rPr>
              <w:t>提供时间</w:t>
            </w:r>
          </w:p>
        </w:tc>
      </w:tr>
      <w:tr w14:paraId="13F2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2B7D258F">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1. 通讯设备</w:t>
            </w:r>
          </w:p>
        </w:tc>
        <w:tc>
          <w:tcPr>
            <w:tcW w:w="1590" w:type="dxa"/>
            <w:noWrap w:val="0"/>
            <w:vAlign w:val="top"/>
          </w:tcPr>
          <w:p w14:paraId="65364830">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w:t>
            </w:r>
          </w:p>
        </w:tc>
        <w:tc>
          <w:tcPr>
            <w:tcW w:w="2130" w:type="dxa"/>
            <w:noWrap w:val="0"/>
            <w:vAlign w:val="top"/>
          </w:tcPr>
          <w:p w14:paraId="52AD013D">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1860" w:type="dxa"/>
            <w:noWrap w:val="0"/>
            <w:vAlign w:val="top"/>
          </w:tcPr>
          <w:p w14:paraId="325E2E1D">
            <w:pPr>
              <w:keepNext w:val="0"/>
              <w:keepLines w:val="0"/>
              <w:kinsoku/>
              <w:wordWrap/>
              <w:overflowPunct/>
              <w:topLinePunct w:val="0"/>
              <w:bidi w:val="0"/>
              <w:spacing w:line="440" w:lineRule="exact"/>
              <w:textAlignment w:val="auto"/>
              <w:rPr>
                <w:rFonts w:hint="eastAsia" w:ascii="宋体" w:hAnsi="宋体" w:eastAsia="宋体" w:cs="宋体"/>
                <w:szCs w:val="21"/>
              </w:rPr>
            </w:pPr>
          </w:p>
        </w:tc>
      </w:tr>
      <w:tr w14:paraId="52A6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2566A5DD">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2. 办公设备</w:t>
            </w:r>
          </w:p>
        </w:tc>
        <w:tc>
          <w:tcPr>
            <w:tcW w:w="1590" w:type="dxa"/>
            <w:noWrap w:val="0"/>
            <w:vAlign w:val="top"/>
          </w:tcPr>
          <w:p w14:paraId="2232A7AC">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w:t>
            </w:r>
          </w:p>
        </w:tc>
        <w:tc>
          <w:tcPr>
            <w:tcW w:w="2130" w:type="dxa"/>
            <w:noWrap w:val="0"/>
            <w:vAlign w:val="top"/>
          </w:tcPr>
          <w:p w14:paraId="68B42DBF">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1860" w:type="dxa"/>
            <w:noWrap w:val="0"/>
            <w:vAlign w:val="top"/>
          </w:tcPr>
          <w:p w14:paraId="459D818A">
            <w:pPr>
              <w:keepNext w:val="0"/>
              <w:keepLines w:val="0"/>
              <w:kinsoku/>
              <w:wordWrap/>
              <w:overflowPunct/>
              <w:topLinePunct w:val="0"/>
              <w:bidi w:val="0"/>
              <w:spacing w:line="440" w:lineRule="exact"/>
              <w:textAlignment w:val="auto"/>
              <w:rPr>
                <w:rFonts w:hint="eastAsia" w:ascii="宋体" w:hAnsi="宋体" w:eastAsia="宋体" w:cs="宋体"/>
                <w:szCs w:val="21"/>
              </w:rPr>
            </w:pPr>
          </w:p>
        </w:tc>
      </w:tr>
      <w:tr w14:paraId="6E1F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67B7C9A">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3. 交通工具</w:t>
            </w:r>
          </w:p>
        </w:tc>
        <w:tc>
          <w:tcPr>
            <w:tcW w:w="1590" w:type="dxa"/>
            <w:noWrap w:val="0"/>
            <w:vAlign w:val="top"/>
          </w:tcPr>
          <w:p w14:paraId="53740999">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w:t>
            </w:r>
          </w:p>
        </w:tc>
        <w:tc>
          <w:tcPr>
            <w:tcW w:w="2130" w:type="dxa"/>
            <w:noWrap w:val="0"/>
            <w:vAlign w:val="top"/>
          </w:tcPr>
          <w:p w14:paraId="5D2A5AA7">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1860" w:type="dxa"/>
            <w:noWrap w:val="0"/>
            <w:vAlign w:val="top"/>
          </w:tcPr>
          <w:p w14:paraId="11044870">
            <w:pPr>
              <w:keepNext w:val="0"/>
              <w:keepLines w:val="0"/>
              <w:kinsoku/>
              <w:wordWrap/>
              <w:overflowPunct/>
              <w:topLinePunct w:val="0"/>
              <w:bidi w:val="0"/>
              <w:spacing w:line="440" w:lineRule="exact"/>
              <w:textAlignment w:val="auto"/>
              <w:rPr>
                <w:rFonts w:hint="eastAsia" w:ascii="宋体" w:hAnsi="宋体" w:eastAsia="宋体" w:cs="宋体"/>
                <w:szCs w:val="21"/>
              </w:rPr>
            </w:pPr>
          </w:p>
        </w:tc>
      </w:tr>
      <w:tr w14:paraId="355D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56D6D777">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4. 检测和试验设备</w:t>
            </w:r>
          </w:p>
        </w:tc>
        <w:tc>
          <w:tcPr>
            <w:tcW w:w="1590" w:type="dxa"/>
            <w:noWrap w:val="0"/>
            <w:vAlign w:val="top"/>
          </w:tcPr>
          <w:p w14:paraId="25A4A1EB">
            <w:pPr>
              <w:keepNext w:val="0"/>
              <w:keepLines w:val="0"/>
              <w:kinsoku/>
              <w:wordWrap/>
              <w:overflowPunct/>
              <w:topLinePunct w:val="0"/>
              <w:bidi w:val="0"/>
              <w:spacing w:line="440" w:lineRule="exact"/>
              <w:textAlignment w:val="auto"/>
              <w:rPr>
                <w:rFonts w:hint="eastAsia" w:ascii="宋体" w:hAnsi="宋体" w:eastAsia="宋体" w:cs="宋体"/>
                <w:szCs w:val="21"/>
              </w:rPr>
            </w:pPr>
            <w:r>
              <w:rPr>
                <w:rFonts w:hint="eastAsia" w:ascii="宋体" w:hAnsi="宋体" w:eastAsia="宋体" w:cs="宋体"/>
                <w:szCs w:val="21"/>
              </w:rPr>
              <w:t>/</w:t>
            </w:r>
          </w:p>
        </w:tc>
        <w:tc>
          <w:tcPr>
            <w:tcW w:w="2130" w:type="dxa"/>
            <w:noWrap w:val="0"/>
            <w:vAlign w:val="top"/>
          </w:tcPr>
          <w:p w14:paraId="5E4D2041">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1860" w:type="dxa"/>
            <w:noWrap w:val="0"/>
            <w:vAlign w:val="top"/>
          </w:tcPr>
          <w:p w14:paraId="42EB9805">
            <w:pPr>
              <w:keepNext w:val="0"/>
              <w:keepLines w:val="0"/>
              <w:kinsoku/>
              <w:wordWrap/>
              <w:overflowPunct/>
              <w:topLinePunct w:val="0"/>
              <w:bidi w:val="0"/>
              <w:spacing w:line="440" w:lineRule="exact"/>
              <w:textAlignment w:val="auto"/>
              <w:rPr>
                <w:rFonts w:hint="eastAsia" w:ascii="宋体" w:hAnsi="宋体" w:eastAsia="宋体" w:cs="宋体"/>
                <w:szCs w:val="21"/>
              </w:rPr>
            </w:pPr>
          </w:p>
        </w:tc>
      </w:tr>
      <w:tr w14:paraId="3B82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63466886">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1590" w:type="dxa"/>
            <w:noWrap w:val="0"/>
            <w:vAlign w:val="top"/>
          </w:tcPr>
          <w:p w14:paraId="61DE4BB6">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2130" w:type="dxa"/>
            <w:noWrap w:val="0"/>
            <w:vAlign w:val="top"/>
          </w:tcPr>
          <w:p w14:paraId="36252EB7">
            <w:pPr>
              <w:keepNext w:val="0"/>
              <w:keepLines w:val="0"/>
              <w:kinsoku/>
              <w:wordWrap/>
              <w:overflowPunct/>
              <w:topLinePunct w:val="0"/>
              <w:bidi w:val="0"/>
              <w:spacing w:line="440" w:lineRule="exact"/>
              <w:textAlignment w:val="auto"/>
              <w:rPr>
                <w:rFonts w:hint="eastAsia" w:ascii="宋体" w:hAnsi="宋体" w:eastAsia="宋体" w:cs="宋体"/>
                <w:szCs w:val="21"/>
              </w:rPr>
            </w:pPr>
          </w:p>
        </w:tc>
        <w:tc>
          <w:tcPr>
            <w:tcW w:w="1860" w:type="dxa"/>
            <w:noWrap w:val="0"/>
            <w:vAlign w:val="top"/>
          </w:tcPr>
          <w:p w14:paraId="5653AD1A">
            <w:pPr>
              <w:keepNext w:val="0"/>
              <w:keepLines w:val="0"/>
              <w:kinsoku/>
              <w:wordWrap/>
              <w:overflowPunct/>
              <w:topLinePunct w:val="0"/>
              <w:bidi w:val="0"/>
              <w:spacing w:line="440" w:lineRule="exact"/>
              <w:textAlignment w:val="auto"/>
              <w:rPr>
                <w:rFonts w:hint="eastAsia" w:ascii="宋体" w:hAnsi="宋体" w:eastAsia="宋体" w:cs="宋体"/>
                <w:szCs w:val="21"/>
              </w:rPr>
            </w:pPr>
          </w:p>
        </w:tc>
      </w:tr>
    </w:tbl>
    <w:p w14:paraId="07F6960D">
      <w:pPr>
        <w:keepNext w:val="0"/>
        <w:keepLines w:val="0"/>
        <w:kinsoku/>
        <w:wordWrap/>
        <w:overflowPunct/>
        <w:topLinePunct w:val="0"/>
        <w:bidi w:val="0"/>
        <w:spacing w:line="440" w:lineRule="exact"/>
        <w:textAlignment w:val="auto"/>
        <w:rPr>
          <w:rFonts w:hint="eastAsia" w:ascii="宋体" w:hAnsi="宋体" w:eastAsia="宋体" w:cs="宋体"/>
          <w:szCs w:val="21"/>
        </w:rPr>
      </w:pPr>
    </w:p>
    <w:p w14:paraId="7CAC4291">
      <w:pPr>
        <w:keepNext w:val="0"/>
        <w:keepLines w:val="0"/>
        <w:kinsoku/>
        <w:wordWrap/>
        <w:overflowPunct/>
        <w:topLinePunct w:val="0"/>
        <w:bidi w:val="0"/>
        <w:spacing w:line="440" w:lineRule="exact"/>
        <w:textAlignment w:val="auto"/>
        <w:rPr>
          <w:rFonts w:hint="eastAsia" w:ascii="宋体" w:hAnsi="宋体" w:eastAsia="宋体" w:cs="宋体"/>
          <w:szCs w:val="21"/>
        </w:rPr>
      </w:pPr>
    </w:p>
    <w:p w14:paraId="2AF20CAC">
      <w:pPr>
        <w:pStyle w:val="49"/>
        <w:keepNext w:val="0"/>
        <w:keepLines w:val="0"/>
        <w:kinsoku/>
        <w:wordWrap/>
        <w:overflowPunct/>
        <w:topLinePunct w:val="0"/>
        <w:bidi w:val="0"/>
        <w:spacing w:line="440" w:lineRule="exact"/>
        <w:textAlignment w:val="auto"/>
        <w:rPr>
          <w:rFonts w:hint="eastAsia" w:ascii="宋体" w:hAnsi="宋体" w:eastAsia="宋体" w:cs="宋体"/>
          <w:color w:val="auto"/>
          <w:sz w:val="21"/>
          <w:szCs w:val="21"/>
        </w:rPr>
      </w:pPr>
    </w:p>
    <w:p w14:paraId="145D8D5F">
      <w:pPr>
        <w:pStyle w:val="31"/>
        <w:spacing w:line="360" w:lineRule="auto"/>
        <w:ind w:left="440" w:firstLine="480"/>
        <w:rPr>
          <w:rFonts w:hint="eastAsia" w:ascii="宋体" w:hAnsi="宋体" w:eastAsia="宋体" w:cs="宋体"/>
          <w:color w:val="auto"/>
          <w:highlight w:val="none"/>
          <w:lang w:eastAsia="zh-CN"/>
        </w:rPr>
      </w:pPr>
      <w:r>
        <w:rPr>
          <w:rFonts w:hint="eastAsia" w:ascii="宋体" w:hAnsi="宋体" w:cs="宋体"/>
          <w:bCs w:val="0"/>
          <w:szCs w:val="36"/>
        </w:rPr>
        <w:br w:type="page"/>
      </w:r>
    </w:p>
    <w:p w14:paraId="550FD632">
      <w:pPr>
        <w:pStyle w:val="2"/>
        <w:spacing w:before="96" w:line="360" w:lineRule="auto"/>
        <w:ind w:right="1"/>
        <w:outlineLvl w:val="0"/>
        <w:rPr>
          <w:rFonts w:hint="eastAsia" w:ascii="宋体" w:hAnsi="宋体" w:eastAsia="宋体" w:cs="宋体"/>
          <w:color w:val="auto"/>
          <w:sz w:val="32"/>
          <w:szCs w:val="32"/>
          <w:highlight w:val="none"/>
          <w:lang w:val="en-US" w:eastAsia="zh-CN"/>
        </w:rPr>
      </w:pPr>
      <w:bookmarkStart w:id="132" w:name="_bookmark6"/>
      <w:bookmarkEnd w:id="132"/>
      <w:bookmarkStart w:id="133" w:name="目____录"/>
      <w:bookmarkEnd w:id="133"/>
      <w:bookmarkStart w:id="134" w:name="第六章_响应文件格式"/>
      <w:bookmarkEnd w:id="134"/>
      <w:bookmarkStart w:id="135" w:name="_Toc5757"/>
      <w:r>
        <w:rPr>
          <w:rFonts w:hint="eastAsia" w:ascii="宋体" w:hAnsi="宋体" w:eastAsia="宋体" w:cs="宋体"/>
          <w:color w:val="auto"/>
          <w:sz w:val="32"/>
          <w:szCs w:val="32"/>
          <w:highlight w:val="none"/>
          <w:lang w:eastAsia="zh-CN"/>
        </w:rPr>
        <w:t>第</w:t>
      </w:r>
      <w:r>
        <w:rPr>
          <w:rFonts w:hint="eastAsia" w:cs="宋体"/>
          <w:color w:val="auto"/>
          <w:sz w:val="32"/>
          <w:szCs w:val="32"/>
          <w:highlight w:val="none"/>
          <w:lang w:val="en-US" w:eastAsia="zh-CN"/>
        </w:rPr>
        <w:t>五</w:t>
      </w:r>
      <w:r>
        <w:rPr>
          <w:rFonts w:hint="eastAsia" w:ascii="宋体" w:hAnsi="宋体" w:eastAsia="宋体" w:cs="宋体"/>
          <w:color w:val="auto"/>
          <w:sz w:val="32"/>
          <w:szCs w:val="32"/>
          <w:highlight w:val="none"/>
          <w:lang w:eastAsia="zh-CN"/>
        </w:rPr>
        <w:t>章</w:t>
      </w:r>
      <w:r>
        <w:rPr>
          <w:rFonts w:hint="eastAsia" w:ascii="宋体" w:hAnsi="宋体" w:eastAsia="宋体" w:cs="宋体"/>
          <w:color w:val="auto"/>
          <w:sz w:val="32"/>
          <w:szCs w:val="32"/>
          <w:highlight w:val="none"/>
          <w:lang w:val="en-US" w:eastAsia="zh-CN"/>
        </w:rPr>
        <w:t xml:space="preserve">  技术标准和要求</w:t>
      </w:r>
      <w:bookmarkEnd w:id="135"/>
    </w:p>
    <w:p w14:paraId="705541D3">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1.本项目工程监理施行《建设工程监理规范》GB/T50319-2013、《工程建设监理规程》（DBJ01-41-2002）。</w:t>
      </w:r>
    </w:p>
    <w:p w14:paraId="538F0F68">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2.监理竞争性磋商文件与国家的有关法律、法规有冲突时，以国家的有关法律、法规为准。</w:t>
      </w:r>
    </w:p>
    <w:p w14:paraId="7C6B7514">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3.本项目工程监理执行国家和本市现行的有关规范、规程和技术标准。</w:t>
      </w:r>
    </w:p>
    <w:p w14:paraId="11AF5952">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4.根据建设部、河南省人民政府和河南省建设厅有关文件规定，结合本工程的实际情况和工程建设监理实际发展水平，确定委托监理的任务范围和工作任务大纲。</w:t>
      </w:r>
    </w:p>
    <w:p w14:paraId="1AF6177C">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5.任务范围：</w:t>
      </w:r>
    </w:p>
    <w:p w14:paraId="5BE8F985">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本工程委托监理的任务范围是本工程的所有工程施工阶段及保修阶段的监理（含缺陷责任期）的质量控制、工期控制、投资控制、安全控制、合同管理、信息管理及协调有关工作单位间的工作关系。</w:t>
      </w:r>
    </w:p>
    <w:p w14:paraId="2625B64F">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6.监理工作任务内容（包括但不限于）：</w:t>
      </w:r>
    </w:p>
    <w:p w14:paraId="60B4EF39">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6.1 工程质量控制：</w:t>
      </w:r>
    </w:p>
    <w:p w14:paraId="6C32ED75">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监理单位必须对工程质量进行严格控制。要求从原材料进场到成品完成全过程的进程质量控制。对材料、设备、施工工艺、施工技术等方面进行全面检查，杜绝不合格工程出现。</w:t>
      </w:r>
    </w:p>
    <w:p w14:paraId="536E53B9">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6.2 工程工期控制：</w:t>
      </w:r>
    </w:p>
    <w:p w14:paraId="17EB9C26">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严格按合同工期控制工程施工工期，负责审查施工单位制定的施工计划，定期检查施工计划执行情况。根据实际情况督促审查施工单位调整施工计划，使其能够按期完工。</w:t>
      </w:r>
    </w:p>
    <w:p w14:paraId="7772F48E">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6.3 工程投资控制：</w:t>
      </w:r>
    </w:p>
    <w:p w14:paraId="41FA3E99">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要求监理单位严格控制各项工程变更，审查工程变更的合理性。一般不得突破工程预算，负责合格项目的验收签证，此证作为业主审查承包商工程量支付其工程款的基本依据。</w:t>
      </w:r>
    </w:p>
    <w:p w14:paraId="1298DDA8">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6.4 工程安全控制：</w:t>
      </w:r>
    </w:p>
    <w:p w14:paraId="6E05C0DD">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工程安全控制措施得力，不留隐患。</w:t>
      </w:r>
    </w:p>
    <w:p w14:paraId="0EC00369">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6.5 工程合同管理、信息管理及协调有关单位的工作关系：</w:t>
      </w:r>
    </w:p>
    <w:p w14:paraId="39E33221">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工程现场的施工单位必须接受监理单位的监督管理。要求监理单位协调好现场各有关单位的关系，处理解决现场各单位之间的矛盾和问题，协助业主办理与工程相关的所有手续。</w:t>
      </w:r>
    </w:p>
    <w:p w14:paraId="41F13D97">
      <w:pPr>
        <w:spacing w:line="360" w:lineRule="auto"/>
        <w:ind w:firstLine="440" w:firstLineChars="200"/>
        <w:rPr>
          <w:rFonts w:hint="eastAsia" w:ascii="宋体" w:hAnsi="宋体" w:eastAsia="宋体" w:cs="宋体"/>
          <w:sz w:val="22"/>
          <w:szCs w:val="22"/>
          <w:lang w:eastAsia="zh-CN"/>
        </w:rPr>
      </w:pPr>
    </w:p>
    <w:p w14:paraId="2FE1AD73">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25B1666F">
      <w:pPr>
        <w:pStyle w:val="2"/>
        <w:spacing w:before="96" w:line="360" w:lineRule="auto"/>
        <w:ind w:right="1"/>
        <w:outlineLvl w:val="0"/>
        <w:rPr>
          <w:rFonts w:hint="eastAsia" w:ascii="宋体" w:hAnsi="宋体" w:eastAsia="宋体" w:cs="宋体"/>
          <w:color w:val="auto"/>
          <w:sz w:val="32"/>
          <w:szCs w:val="32"/>
          <w:highlight w:val="none"/>
          <w:lang w:eastAsia="zh-CN"/>
        </w:rPr>
      </w:pPr>
      <w:bookmarkStart w:id="136" w:name="_Toc2376"/>
      <w:r>
        <w:rPr>
          <w:rFonts w:hint="eastAsia" w:ascii="宋体" w:hAnsi="宋体" w:eastAsia="宋体" w:cs="宋体"/>
          <w:color w:val="auto"/>
          <w:sz w:val="32"/>
          <w:szCs w:val="32"/>
          <w:highlight w:val="none"/>
          <w:lang w:eastAsia="zh-CN"/>
        </w:rPr>
        <w:t>第</w:t>
      </w:r>
      <w:r>
        <w:rPr>
          <w:rFonts w:hint="eastAsia" w:cs="宋体"/>
          <w:color w:val="auto"/>
          <w:sz w:val="32"/>
          <w:szCs w:val="32"/>
          <w:highlight w:val="none"/>
          <w:lang w:val="en-US" w:eastAsia="zh-CN"/>
        </w:rPr>
        <w:t>六</w:t>
      </w:r>
      <w:r>
        <w:rPr>
          <w:rFonts w:hint="eastAsia" w:ascii="宋体" w:hAnsi="宋体" w:eastAsia="宋体" w:cs="宋体"/>
          <w:color w:val="auto"/>
          <w:sz w:val="32"/>
          <w:szCs w:val="32"/>
          <w:highlight w:val="none"/>
          <w:lang w:eastAsia="zh-CN"/>
        </w:rPr>
        <w:t>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响应文件格式</w:t>
      </w:r>
      <w:bookmarkEnd w:id="136"/>
    </w:p>
    <w:p w14:paraId="7FD88192">
      <w:pPr>
        <w:pStyle w:val="11"/>
        <w:spacing w:line="360" w:lineRule="auto"/>
        <w:rPr>
          <w:rFonts w:hint="eastAsia" w:ascii="宋体" w:hAnsi="宋体" w:eastAsia="宋体" w:cs="宋体"/>
          <w:b/>
          <w:color w:val="auto"/>
          <w:sz w:val="44"/>
          <w:highlight w:val="none"/>
          <w:lang w:eastAsia="zh-CN"/>
        </w:rPr>
      </w:pPr>
    </w:p>
    <w:p w14:paraId="67D83387">
      <w:pPr>
        <w:pStyle w:val="11"/>
        <w:spacing w:before="3" w:line="360" w:lineRule="auto"/>
        <w:rPr>
          <w:rFonts w:hint="eastAsia" w:ascii="宋体" w:hAnsi="宋体" w:eastAsia="宋体" w:cs="宋体"/>
          <w:b/>
          <w:color w:val="auto"/>
          <w:sz w:val="31"/>
          <w:highlight w:val="none"/>
          <w:lang w:eastAsia="zh-CN"/>
        </w:rPr>
      </w:pPr>
    </w:p>
    <w:p w14:paraId="53E1A8F4">
      <w:pPr>
        <w:pStyle w:val="11"/>
        <w:spacing w:line="360" w:lineRule="auto"/>
        <w:jc w:val="center"/>
        <w:rPr>
          <w:rFonts w:hint="default" w:ascii="宋体" w:hAnsi="宋体" w:eastAsia="宋体" w:cs="宋体"/>
          <w:color w:val="auto"/>
          <w:sz w:val="44"/>
          <w:szCs w:val="44"/>
          <w:highlight w:val="none"/>
          <w:u w:val="single"/>
          <w:lang w:val="en-US" w:eastAsia="zh-CN"/>
        </w:rPr>
      </w:pPr>
      <w:r>
        <w:rPr>
          <w:rFonts w:hint="eastAsia" w:cs="宋体"/>
          <w:b/>
          <w:color w:val="auto"/>
          <w:sz w:val="44"/>
          <w:szCs w:val="44"/>
          <w:highlight w:val="none"/>
          <w:u w:val="single"/>
          <w:lang w:val="en-US" w:eastAsia="zh-CN"/>
        </w:rPr>
        <w:t xml:space="preserve">   项目名称    包号</w:t>
      </w:r>
    </w:p>
    <w:p w14:paraId="5462CF59">
      <w:pPr>
        <w:spacing w:line="360" w:lineRule="auto"/>
        <w:jc w:val="center"/>
        <w:outlineLvl w:val="9"/>
        <w:rPr>
          <w:rFonts w:hint="eastAsia" w:ascii="宋体" w:hAnsi="宋体" w:eastAsia="宋体" w:cs="宋体"/>
          <w:b/>
          <w:color w:val="auto"/>
          <w:sz w:val="28"/>
          <w:szCs w:val="28"/>
          <w:highlight w:val="none"/>
          <w:lang w:val="en-US" w:eastAsia="zh-CN" w:bidi="ar-SA"/>
        </w:rPr>
      </w:pPr>
      <w:bookmarkStart w:id="137" w:name="_Toc22795"/>
      <w:r>
        <w:rPr>
          <w:rFonts w:hint="eastAsia" w:ascii="宋体" w:hAnsi="宋体" w:eastAsia="宋体" w:cs="宋体"/>
          <w:b/>
          <w:color w:val="auto"/>
          <w:sz w:val="28"/>
          <w:szCs w:val="28"/>
          <w:highlight w:val="none"/>
          <w:lang w:val="en-US" w:eastAsia="zh-CN" w:bidi="ar-SA"/>
        </w:rPr>
        <w:t>项目编号：</w:t>
      </w:r>
      <w:bookmarkEnd w:id="137"/>
    </w:p>
    <w:p w14:paraId="2561669D">
      <w:pPr>
        <w:pStyle w:val="11"/>
        <w:spacing w:before="8" w:line="360" w:lineRule="auto"/>
        <w:rPr>
          <w:rFonts w:hint="eastAsia" w:ascii="宋体" w:hAnsi="宋体" w:eastAsia="宋体" w:cs="宋体"/>
          <w:color w:val="auto"/>
          <w:sz w:val="34"/>
          <w:highlight w:val="none"/>
          <w:lang w:eastAsia="zh-CN"/>
        </w:rPr>
      </w:pPr>
    </w:p>
    <w:p w14:paraId="4ED14C56">
      <w:pPr>
        <w:pStyle w:val="49"/>
        <w:rPr>
          <w:rFonts w:hint="eastAsia" w:ascii="宋体" w:hAnsi="宋体" w:eastAsia="宋体" w:cs="宋体"/>
          <w:lang w:eastAsia="zh-CN"/>
        </w:rPr>
      </w:pPr>
    </w:p>
    <w:p w14:paraId="50445D92">
      <w:pPr>
        <w:tabs>
          <w:tab w:val="left" w:pos="1043"/>
          <w:tab w:val="left" w:pos="2087"/>
          <w:tab w:val="left" w:pos="3131"/>
        </w:tabs>
        <w:spacing w:line="360" w:lineRule="auto"/>
        <w:ind w:right="1"/>
        <w:jc w:val="center"/>
        <w:rPr>
          <w:rFonts w:hint="eastAsia" w:ascii="宋体" w:hAnsi="宋体" w:eastAsia="宋体" w:cs="宋体"/>
          <w:b/>
          <w:color w:val="auto"/>
          <w:sz w:val="56"/>
          <w:szCs w:val="24"/>
          <w:highlight w:val="none"/>
          <w:lang w:eastAsia="zh-CN"/>
        </w:rPr>
      </w:pPr>
      <w:r>
        <w:rPr>
          <w:rFonts w:hint="eastAsia" w:ascii="宋体" w:hAnsi="宋体" w:eastAsia="宋体" w:cs="宋体"/>
          <w:b/>
          <w:color w:val="auto"/>
          <w:sz w:val="56"/>
          <w:szCs w:val="24"/>
          <w:highlight w:val="none"/>
          <w:lang w:eastAsia="zh-CN"/>
        </w:rPr>
        <w:t>响应文件</w:t>
      </w:r>
    </w:p>
    <w:p w14:paraId="66C850B2">
      <w:pPr>
        <w:pStyle w:val="11"/>
        <w:spacing w:line="360" w:lineRule="auto"/>
        <w:rPr>
          <w:rFonts w:hint="eastAsia" w:ascii="宋体" w:hAnsi="宋体" w:eastAsia="宋体" w:cs="宋体"/>
          <w:color w:val="auto"/>
          <w:sz w:val="28"/>
          <w:highlight w:val="none"/>
          <w:lang w:eastAsia="zh-CN"/>
        </w:rPr>
      </w:pPr>
    </w:p>
    <w:p w14:paraId="6D807843">
      <w:pPr>
        <w:pStyle w:val="49"/>
        <w:rPr>
          <w:rFonts w:hint="eastAsia" w:ascii="宋体" w:hAnsi="宋体" w:eastAsia="宋体" w:cs="宋体"/>
          <w:color w:val="auto"/>
          <w:sz w:val="28"/>
          <w:highlight w:val="none"/>
          <w:lang w:eastAsia="zh-CN"/>
        </w:rPr>
      </w:pPr>
    </w:p>
    <w:p w14:paraId="6197CF99">
      <w:pPr>
        <w:pStyle w:val="49"/>
        <w:rPr>
          <w:rFonts w:hint="eastAsia" w:ascii="宋体" w:hAnsi="宋体" w:eastAsia="宋体" w:cs="宋体"/>
          <w:color w:val="auto"/>
          <w:sz w:val="28"/>
          <w:highlight w:val="none"/>
          <w:lang w:eastAsia="zh-CN"/>
        </w:rPr>
      </w:pPr>
    </w:p>
    <w:p w14:paraId="2BDC77D9">
      <w:pPr>
        <w:pStyle w:val="49"/>
        <w:rPr>
          <w:rFonts w:hint="eastAsia" w:ascii="宋体" w:hAnsi="宋体" w:eastAsia="宋体" w:cs="宋体"/>
          <w:color w:val="auto"/>
          <w:sz w:val="28"/>
          <w:highlight w:val="none"/>
          <w:lang w:eastAsia="zh-CN"/>
        </w:rPr>
      </w:pPr>
    </w:p>
    <w:p w14:paraId="03CD305F">
      <w:pPr>
        <w:pStyle w:val="11"/>
        <w:spacing w:line="360" w:lineRule="auto"/>
        <w:rPr>
          <w:rFonts w:hint="eastAsia" w:ascii="宋体" w:hAnsi="宋体" w:eastAsia="宋体" w:cs="宋体"/>
          <w:color w:val="auto"/>
          <w:sz w:val="28"/>
          <w:highlight w:val="none"/>
          <w:lang w:eastAsia="zh-CN"/>
        </w:rPr>
      </w:pPr>
    </w:p>
    <w:p w14:paraId="21A8ED61">
      <w:pPr>
        <w:pStyle w:val="11"/>
        <w:spacing w:before="2" w:line="360" w:lineRule="auto"/>
        <w:rPr>
          <w:rFonts w:hint="eastAsia" w:ascii="宋体" w:hAnsi="宋体" w:eastAsia="宋体" w:cs="宋体"/>
          <w:color w:val="auto"/>
          <w:sz w:val="39"/>
          <w:highlight w:val="none"/>
          <w:lang w:eastAsia="zh-CN"/>
        </w:rPr>
      </w:pPr>
    </w:p>
    <w:p w14:paraId="1C69B80F">
      <w:pPr>
        <w:spacing w:line="560" w:lineRule="exact"/>
        <w:ind w:firstLine="1667" w:firstLineChars="692"/>
        <w:rPr>
          <w:rFonts w:hint="eastAsia" w:ascii="宋体" w:hAnsi="宋体" w:eastAsia="宋体" w:cs="宋体"/>
          <w:b/>
          <w:bCs/>
          <w:color w:val="auto"/>
          <w:sz w:val="24"/>
        </w:rPr>
      </w:pPr>
      <w:r>
        <w:rPr>
          <w:rFonts w:hint="eastAsia" w:ascii="宋体" w:hAnsi="宋体" w:eastAsia="宋体" w:cs="宋体"/>
          <w:b/>
          <w:bCs/>
          <w:color w:val="auto"/>
          <w:sz w:val="24"/>
        </w:rPr>
        <w:t>供应商：（</w:t>
      </w:r>
      <w:r>
        <w:rPr>
          <w:rFonts w:hint="eastAsia" w:cs="宋体"/>
          <w:b/>
          <w:bCs/>
          <w:color w:val="auto"/>
          <w:sz w:val="24"/>
          <w:lang w:eastAsia="zh-CN"/>
        </w:rPr>
        <w:t>盖单位公章</w:t>
      </w:r>
      <w:r>
        <w:rPr>
          <w:rFonts w:hint="eastAsia" w:ascii="宋体" w:hAnsi="宋体" w:eastAsia="宋体" w:cs="宋体"/>
          <w:b/>
          <w:bCs/>
          <w:color w:val="auto"/>
          <w:sz w:val="24"/>
        </w:rPr>
        <w:t>）</w:t>
      </w:r>
    </w:p>
    <w:p w14:paraId="23DA7872">
      <w:pPr>
        <w:spacing w:line="560" w:lineRule="exact"/>
        <w:ind w:firstLine="1667" w:firstLineChars="692"/>
        <w:rPr>
          <w:rFonts w:hint="eastAsia" w:ascii="宋体" w:hAnsi="宋体" w:eastAsia="宋体" w:cs="宋体"/>
          <w:b/>
          <w:bCs/>
          <w:color w:val="auto"/>
          <w:sz w:val="24"/>
        </w:rPr>
      </w:pPr>
      <w:r>
        <w:rPr>
          <w:rFonts w:hint="eastAsia" w:ascii="宋体" w:hAnsi="宋体" w:eastAsia="宋体" w:cs="宋体"/>
          <w:b/>
          <w:bCs/>
          <w:color w:val="auto"/>
          <w:sz w:val="24"/>
        </w:rPr>
        <w:t>法定代表人或授权代表人：（</w:t>
      </w:r>
      <w:r>
        <w:rPr>
          <w:rFonts w:hint="eastAsia" w:cs="宋体"/>
          <w:b/>
          <w:bCs/>
          <w:color w:val="auto"/>
          <w:sz w:val="24"/>
          <w:lang w:eastAsia="zh-CN"/>
        </w:rPr>
        <w:t>签字或盖章</w:t>
      </w:r>
      <w:r>
        <w:rPr>
          <w:rFonts w:hint="eastAsia" w:ascii="宋体" w:hAnsi="宋体" w:eastAsia="宋体" w:cs="宋体"/>
          <w:b/>
          <w:bCs/>
          <w:color w:val="auto"/>
          <w:sz w:val="24"/>
        </w:rPr>
        <w:t>）</w:t>
      </w:r>
    </w:p>
    <w:p w14:paraId="102234B5">
      <w:pPr>
        <w:spacing w:line="560" w:lineRule="exact"/>
        <w:ind w:firstLine="1667" w:firstLineChars="692"/>
        <w:rPr>
          <w:rFonts w:hint="eastAsia" w:ascii="宋体" w:hAnsi="宋体" w:eastAsia="宋体" w:cs="宋体"/>
          <w:b/>
          <w:bCs/>
          <w:color w:val="auto"/>
          <w:sz w:val="24"/>
        </w:rPr>
      </w:pPr>
      <w:r>
        <w:rPr>
          <w:rFonts w:hint="eastAsia" w:ascii="宋体" w:hAnsi="宋体" w:eastAsia="宋体" w:cs="宋体"/>
          <w:b/>
          <w:bCs/>
          <w:color w:val="auto"/>
          <w:sz w:val="24"/>
        </w:rPr>
        <w:t>日期：</w:t>
      </w:r>
      <w:r>
        <w:rPr>
          <w:rFonts w:hint="eastAsia" w:cs="宋体"/>
          <w:b/>
          <w:bCs/>
          <w:color w:val="auto"/>
          <w:sz w:val="24"/>
          <w:lang w:val="en-US" w:eastAsia="zh-CN"/>
        </w:rPr>
        <w:t xml:space="preserve"> </w:t>
      </w:r>
      <w:r>
        <w:rPr>
          <w:rFonts w:hint="eastAsia" w:ascii="宋体" w:hAnsi="宋体" w:eastAsia="宋体" w:cs="宋体"/>
          <w:b/>
          <w:bCs/>
          <w:color w:val="auto"/>
          <w:sz w:val="24"/>
        </w:rPr>
        <w:t>年</w:t>
      </w:r>
      <w:r>
        <w:rPr>
          <w:rFonts w:hint="eastAsia" w:cs="宋体"/>
          <w:b/>
          <w:bCs/>
          <w:color w:val="auto"/>
          <w:sz w:val="24"/>
          <w:lang w:val="en-US" w:eastAsia="zh-CN"/>
        </w:rPr>
        <w:t xml:space="preserve"> </w:t>
      </w:r>
      <w:r>
        <w:rPr>
          <w:rFonts w:hint="eastAsia" w:ascii="宋体" w:hAnsi="宋体" w:eastAsia="宋体" w:cs="宋体"/>
          <w:b/>
          <w:bCs/>
          <w:color w:val="auto"/>
          <w:sz w:val="24"/>
        </w:rPr>
        <w:t>月</w:t>
      </w:r>
      <w:r>
        <w:rPr>
          <w:rFonts w:hint="eastAsia" w:cs="宋体"/>
          <w:b/>
          <w:bCs/>
          <w:color w:val="auto"/>
          <w:sz w:val="24"/>
          <w:lang w:val="en-US" w:eastAsia="zh-CN"/>
        </w:rPr>
        <w:t xml:space="preserve"> </w:t>
      </w:r>
      <w:r>
        <w:rPr>
          <w:rFonts w:hint="eastAsia" w:ascii="宋体" w:hAnsi="宋体" w:eastAsia="宋体" w:cs="宋体"/>
          <w:b/>
          <w:bCs/>
          <w:color w:val="auto"/>
          <w:sz w:val="24"/>
        </w:rPr>
        <w:t>日</w:t>
      </w:r>
    </w:p>
    <w:p w14:paraId="4952286A">
      <w:pPr>
        <w:spacing w:line="360" w:lineRule="auto"/>
        <w:rPr>
          <w:rFonts w:hint="eastAsia" w:ascii="宋体" w:hAnsi="宋体" w:eastAsia="宋体" w:cs="宋体"/>
          <w:color w:val="auto"/>
          <w:sz w:val="28"/>
          <w:highlight w:val="none"/>
        </w:rPr>
        <w:sectPr>
          <w:headerReference r:id="rId6" w:type="default"/>
          <w:footerReference r:id="rId7" w:type="default"/>
          <w:pgSz w:w="11910" w:h="16840"/>
          <w:pgMar w:top="1440" w:right="1080" w:bottom="1440" w:left="1080" w:header="878" w:footer="1130" w:gutter="0"/>
          <w:pgNumType w:fmt="decimal"/>
          <w:cols w:space="720" w:num="1"/>
        </w:sectPr>
      </w:pPr>
    </w:p>
    <w:p w14:paraId="1F77BB71">
      <w:pPr>
        <w:pStyle w:val="11"/>
        <w:spacing w:before="2" w:line="360" w:lineRule="auto"/>
        <w:rPr>
          <w:rFonts w:hint="eastAsia" w:ascii="宋体" w:hAnsi="宋体" w:eastAsia="宋体" w:cs="宋体"/>
          <w:b/>
          <w:color w:val="auto"/>
          <w:sz w:val="28"/>
          <w:szCs w:val="28"/>
          <w:highlight w:val="none"/>
        </w:rPr>
      </w:pPr>
    </w:p>
    <w:p w14:paraId="36F18BF7">
      <w:pPr>
        <w:tabs>
          <w:tab w:val="left" w:pos="722"/>
        </w:tabs>
        <w:spacing w:line="360" w:lineRule="auto"/>
        <w:ind w:left="0"/>
        <w:jc w:val="center"/>
        <w:outlineLvl w:val="9"/>
        <w:rPr>
          <w:rFonts w:hint="eastAsia" w:ascii="宋体" w:hAnsi="宋体" w:eastAsia="宋体" w:cs="宋体"/>
          <w:color w:val="auto"/>
          <w:sz w:val="28"/>
          <w:szCs w:val="28"/>
          <w:highlight w:val="none"/>
        </w:rPr>
      </w:pPr>
      <w:bookmarkStart w:id="138" w:name="一、磋商响应函及报价一览表"/>
      <w:bookmarkEnd w:id="138"/>
      <w:r>
        <w:rPr>
          <w:rFonts w:hint="eastAsia" w:ascii="宋体" w:hAnsi="宋体" w:eastAsia="宋体" w:cs="宋体"/>
          <w:color w:val="auto"/>
          <w:sz w:val="28"/>
          <w:szCs w:val="28"/>
          <w:highlight w:val="none"/>
        </w:rPr>
        <w:t>目</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录</w:t>
      </w:r>
    </w:p>
    <w:p w14:paraId="3AF433C7">
      <w:pPr>
        <w:pStyle w:val="11"/>
        <w:spacing w:line="360" w:lineRule="auto"/>
        <w:rPr>
          <w:rFonts w:hint="eastAsia" w:ascii="宋体" w:hAnsi="宋体" w:eastAsia="宋体" w:cs="宋体"/>
          <w:b/>
          <w:color w:val="auto"/>
          <w:sz w:val="20"/>
          <w:highlight w:val="none"/>
        </w:rPr>
      </w:pPr>
    </w:p>
    <w:p w14:paraId="2112597E">
      <w:pPr>
        <w:pStyle w:val="11"/>
        <w:spacing w:before="9" w:line="360" w:lineRule="auto"/>
        <w:rPr>
          <w:rFonts w:hint="eastAsia" w:ascii="宋体" w:hAnsi="宋体" w:eastAsia="宋体" w:cs="宋体"/>
          <w:b/>
          <w:color w:val="auto"/>
          <w:sz w:val="17"/>
          <w:highlight w:val="none"/>
        </w:rPr>
      </w:pPr>
    </w:p>
    <w:p w14:paraId="1C0EEA6A">
      <w:pPr>
        <w:pStyle w:val="11"/>
        <w:numPr>
          <w:ilvl w:val="0"/>
          <w:numId w:val="3"/>
        </w:numPr>
        <w:spacing w:line="360" w:lineRule="auto"/>
        <w:ind w:left="402" w:right="361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磋商响应函及报价一览表</w:t>
      </w:r>
    </w:p>
    <w:p w14:paraId="646187E3">
      <w:pPr>
        <w:pStyle w:val="11"/>
        <w:spacing w:line="360" w:lineRule="auto"/>
        <w:ind w:left="402" w:right="251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二、法定代表人身份证明或附有法定代表人身份证明的授权委托书</w:t>
      </w:r>
    </w:p>
    <w:p w14:paraId="786B01C9">
      <w:pPr>
        <w:pStyle w:val="11"/>
        <w:spacing w:line="360" w:lineRule="auto"/>
        <w:ind w:left="402" w:right="251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三、竞争性磋商承诺函</w:t>
      </w:r>
    </w:p>
    <w:p w14:paraId="134BABF0">
      <w:pPr>
        <w:pStyle w:val="11"/>
        <w:spacing w:line="360" w:lineRule="auto"/>
        <w:ind w:right="361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四、</w:t>
      </w:r>
      <w:r>
        <w:rPr>
          <w:rFonts w:hint="eastAsia" w:cs="宋体"/>
          <w:color w:val="auto"/>
          <w:highlight w:val="none"/>
          <w:lang w:val="en-US" w:eastAsia="zh-CN"/>
        </w:rPr>
        <w:t>供应商资格证明文件</w:t>
      </w:r>
    </w:p>
    <w:p w14:paraId="17813A9A">
      <w:pPr>
        <w:pStyle w:val="11"/>
        <w:spacing w:line="360" w:lineRule="auto"/>
        <w:ind w:left="402" w:right="361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五、</w:t>
      </w:r>
      <w:r>
        <w:rPr>
          <w:rFonts w:hint="eastAsia" w:ascii="宋体" w:hAnsi="宋体" w:eastAsia="宋体" w:cs="宋体"/>
          <w:color w:val="auto"/>
          <w:highlight w:val="none"/>
          <w:lang w:val="en-US" w:eastAsia="zh-CN"/>
        </w:rPr>
        <w:t>项目管理机构</w:t>
      </w:r>
    </w:p>
    <w:p w14:paraId="3AB7B8DC">
      <w:pPr>
        <w:pStyle w:val="11"/>
        <w:spacing w:line="360" w:lineRule="auto"/>
        <w:ind w:right="3610"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六、</w:t>
      </w:r>
      <w:r>
        <w:rPr>
          <w:rFonts w:hint="eastAsia" w:ascii="宋体" w:hAnsi="宋体" w:eastAsia="宋体" w:cs="宋体"/>
          <w:color w:val="auto"/>
          <w:highlight w:val="none"/>
          <w:lang w:val="en-US" w:eastAsia="zh-CN"/>
        </w:rPr>
        <w:t>技术部分</w:t>
      </w:r>
    </w:p>
    <w:p w14:paraId="150D5360">
      <w:pPr>
        <w:pStyle w:val="11"/>
        <w:spacing w:line="360" w:lineRule="auto"/>
        <w:ind w:right="3610"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七、</w:t>
      </w:r>
      <w:r>
        <w:rPr>
          <w:rFonts w:hint="eastAsia" w:ascii="宋体" w:hAnsi="宋体" w:eastAsia="宋体" w:cs="宋体"/>
          <w:color w:val="auto"/>
          <w:highlight w:val="none"/>
          <w:lang w:val="en-US" w:eastAsia="zh-CN"/>
        </w:rPr>
        <w:t>综合部分</w:t>
      </w:r>
    </w:p>
    <w:p w14:paraId="03911E47">
      <w:pPr>
        <w:pStyle w:val="11"/>
        <w:spacing w:line="360" w:lineRule="auto"/>
        <w:ind w:right="3610"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八、其他材料</w:t>
      </w:r>
    </w:p>
    <w:p w14:paraId="289DB2FC">
      <w:pPr>
        <w:spacing w:line="360" w:lineRule="auto"/>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p>
    <w:p w14:paraId="0094CEAA">
      <w:pPr>
        <w:pStyle w:val="3"/>
        <w:spacing w:before="61" w:line="360" w:lineRule="auto"/>
        <w:jc w:val="center"/>
        <w:outlineLvl w:val="1"/>
        <w:rPr>
          <w:rFonts w:hint="eastAsia" w:ascii="宋体" w:hAnsi="宋体" w:eastAsia="宋体" w:cs="宋体"/>
          <w:b/>
          <w:bCs/>
          <w:color w:val="auto"/>
          <w:sz w:val="19"/>
          <w:highlight w:val="none"/>
          <w:lang w:eastAsia="zh-CN"/>
        </w:rPr>
      </w:pPr>
      <w:bookmarkStart w:id="139" w:name="_Toc13099"/>
      <w:bookmarkStart w:id="140" w:name="_Toc4087"/>
      <w:bookmarkStart w:id="141" w:name="_Toc32049"/>
      <w:r>
        <w:rPr>
          <w:rFonts w:hint="eastAsia" w:ascii="宋体" w:hAnsi="宋体" w:eastAsia="宋体" w:cs="宋体"/>
          <w:b/>
          <w:bCs/>
          <w:color w:val="auto"/>
          <w:highlight w:val="none"/>
          <w:lang w:eastAsia="zh-CN"/>
        </w:rPr>
        <w:t>一、磋商响应函及报价一览表</w:t>
      </w:r>
      <w:bookmarkEnd w:id="139"/>
      <w:bookmarkEnd w:id="140"/>
      <w:bookmarkEnd w:id="141"/>
    </w:p>
    <w:p w14:paraId="0568A56A">
      <w:pPr>
        <w:spacing w:before="1" w:line="360" w:lineRule="auto"/>
        <w:ind w:right="1"/>
        <w:jc w:val="center"/>
        <w:outlineLvl w:val="9"/>
        <w:rPr>
          <w:rFonts w:hint="eastAsia" w:ascii="宋体" w:hAnsi="宋体" w:eastAsia="宋体" w:cs="宋体"/>
          <w:color w:val="auto"/>
          <w:highlight w:val="none"/>
          <w:lang w:eastAsia="zh-CN"/>
        </w:rPr>
      </w:pPr>
      <w:bookmarkStart w:id="142" w:name="（一）磋商响应函"/>
      <w:bookmarkEnd w:id="142"/>
      <w:bookmarkStart w:id="143" w:name="_Toc24098"/>
      <w:bookmarkStart w:id="144" w:name="_Toc10472"/>
      <w:bookmarkStart w:id="145" w:name="_Toc9676"/>
    </w:p>
    <w:p w14:paraId="78740B4D">
      <w:pPr>
        <w:pStyle w:val="4"/>
        <w:spacing w:before="1" w:line="360" w:lineRule="auto"/>
        <w:ind w:right="1"/>
        <w:jc w:val="center"/>
        <w:outlineLvl w:val="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（一）磋商响应函</w:t>
      </w:r>
      <w:bookmarkEnd w:id="143"/>
      <w:bookmarkEnd w:id="144"/>
      <w:bookmarkEnd w:id="145"/>
    </w:p>
    <w:p w14:paraId="2EE526AE">
      <w:pPr>
        <w:pStyle w:val="11"/>
        <w:spacing w:before="3" w:line="360" w:lineRule="auto"/>
        <w:rPr>
          <w:rFonts w:hint="eastAsia" w:ascii="宋体" w:hAnsi="宋体" w:eastAsia="宋体" w:cs="宋体"/>
          <w:b/>
          <w:color w:val="auto"/>
          <w:sz w:val="9"/>
          <w:highlight w:val="none"/>
          <w:lang w:eastAsia="zh-CN"/>
        </w:rPr>
      </w:pPr>
    </w:p>
    <w:p w14:paraId="265CF7C6">
      <w:pPr>
        <w:spacing w:line="360" w:lineRule="auto"/>
        <w:rPr>
          <w:rFonts w:hint="eastAsia" w:ascii="宋体" w:hAnsi="宋体" w:eastAsia="宋体" w:cs="宋体"/>
          <w:b/>
          <w:color w:val="auto"/>
          <w:sz w:val="22"/>
          <w:szCs w:val="22"/>
        </w:rPr>
      </w:pPr>
      <w:r>
        <w:rPr>
          <w:rFonts w:hint="eastAsia" w:ascii="宋体" w:hAnsi="宋体" w:eastAsia="宋体" w:cs="宋体"/>
          <w:b/>
          <w:color w:val="auto"/>
          <w:sz w:val="22"/>
          <w:szCs w:val="22"/>
        </w:rPr>
        <w:t>致：</w:t>
      </w:r>
      <w:r>
        <w:rPr>
          <w:rFonts w:hint="eastAsia" w:ascii="宋体" w:hAnsi="宋体" w:eastAsia="宋体" w:cs="宋体"/>
          <w:b/>
          <w:color w:val="auto"/>
          <w:sz w:val="22"/>
          <w:szCs w:val="22"/>
          <w:u w:val="single"/>
        </w:rPr>
        <w:t>（采购人</w:t>
      </w:r>
      <w:r>
        <w:rPr>
          <w:rFonts w:hint="eastAsia" w:cs="宋体"/>
          <w:b/>
          <w:color w:val="auto"/>
          <w:sz w:val="22"/>
          <w:szCs w:val="22"/>
          <w:u w:val="single"/>
          <w:lang w:val="en-US" w:eastAsia="zh-CN"/>
        </w:rPr>
        <w:t>名称</w:t>
      </w:r>
      <w:r>
        <w:rPr>
          <w:rFonts w:hint="eastAsia" w:ascii="宋体" w:hAnsi="宋体" w:eastAsia="宋体" w:cs="宋体"/>
          <w:b/>
          <w:color w:val="auto"/>
          <w:sz w:val="22"/>
          <w:szCs w:val="22"/>
          <w:u w:val="single"/>
        </w:rPr>
        <w:t>）</w:t>
      </w:r>
    </w:p>
    <w:p w14:paraId="522F4145">
      <w:pPr>
        <w:tabs>
          <w:tab w:val="left" w:pos="0"/>
          <w:tab w:val="left" w:pos="840"/>
        </w:tabs>
        <w:spacing w:line="360" w:lineRule="auto"/>
        <w:ind w:firstLine="525"/>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cs="宋体"/>
          <w:color w:val="auto"/>
          <w:sz w:val="22"/>
          <w:szCs w:val="22"/>
          <w:lang w:eastAsia="zh-CN"/>
        </w:rPr>
        <w:t>.</w:t>
      </w:r>
      <w:r>
        <w:rPr>
          <w:rFonts w:hint="eastAsia" w:cs="宋体"/>
          <w:color w:val="auto"/>
          <w:sz w:val="22"/>
          <w:szCs w:val="22"/>
          <w:lang w:val="en-US" w:eastAsia="zh-CN"/>
        </w:rPr>
        <w:t>我方已仔细研究了</w:t>
      </w:r>
      <w:r>
        <w:rPr>
          <w:rFonts w:hint="eastAsia" w:ascii="宋体" w:hAnsi="宋体" w:eastAsia="宋体" w:cs="宋体"/>
          <w:color w:val="auto"/>
          <w:sz w:val="22"/>
          <w:szCs w:val="22"/>
          <w:u w:val="single"/>
        </w:rPr>
        <w:t>（项目</w:t>
      </w:r>
      <w:r>
        <w:rPr>
          <w:rFonts w:hint="eastAsia" w:cs="宋体"/>
          <w:color w:val="auto"/>
          <w:sz w:val="22"/>
          <w:szCs w:val="22"/>
          <w:u w:val="single"/>
          <w:lang w:val="en-US" w:eastAsia="zh-CN"/>
        </w:rPr>
        <w:t>名称</w:t>
      </w:r>
      <w:r>
        <w:rPr>
          <w:rFonts w:hint="eastAsia" w:ascii="宋体" w:hAnsi="宋体" w:eastAsia="宋体" w:cs="宋体"/>
          <w:color w:val="auto"/>
          <w:sz w:val="22"/>
          <w:szCs w:val="22"/>
          <w:u w:val="single"/>
        </w:rPr>
        <w:t>）</w:t>
      </w:r>
      <w:r>
        <w:rPr>
          <w:rFonts w:hint="eastAsia" w:cs="宋体"/>
          <w:color w:val="auto"/>
          <w:sz w:val="22"/>
          <w:szCs w:val="22"/>
          <w:u w:val="single"/>
          <w:lang w:val="en-US" w:eastAsia="zh-CN"/>
        </w:rPr>
        <w:t xml:space="preserve">   （包号） </w:t>
      </w:r>
      <w:r>
        <w:rPr>
          <w:rFonts w:hint="eastAsia" w:cs="宋体"/>
          <w:color w:val="auto"/>
          <w:sz w:val="22"/>
          <w:szCs w:val="22"/>
          <w:u w:val="none"/>
          <w:lang w:val="en-US" w:eastAsia="zh-CN"/>
        </w:rPr>
        <w:t>竞争性磋商文件的全部内容</w:t>
      </w:r>
      <w:r>
        <w:rPr>
          <w:rFonts w:hint="eastAsia" w:ascii="宋体" w:hAnsi="宋体" w:eastAsia="宋体" w:cs="宋体"/>
          <w:color w:val="auto"/>
          <w:sz w:val="22"/>
          <w:szCs w:val="22"/>
        </w:rPr>
        <w:t>，决定参加贵单位组织的磋商采购。我方授权</w:t>
      </w:r>
      <w:r>
        <w:rPr>
          <w:rFonts w:hint="eastAsia" w:ascii="宋体" w:hAnsi="宋体" w:eastAsia="宋体" w:cs="宋体"/>
          <w:color w:val="auto"/>
          <w:sz w:val="22"/>
          <w:szCs w:val="22"/>
          <w:u w:val="single"/>
        </w:rPr>
        <w:t>(姓名和职务)</w:t>
      </w:r>
      <w:r>
        <w:rPr>
          <w:rFonts w:hint="eastAsia" w:ascii="宋体" w:hAnsi="宋体" w:eastAsia="宋体" w:cs="宋体"/>
          <w:color w:val="auto"/>
          <w:sz w:val="22"/>
          <w:szCs w:val="22"/>
        </w:rPr>
        <w:t>代表我方</w:t>
      </w:r>
      <w:r>
        <w:rPr>
          <w:rFonts w:hint="eastAsia" w:ascii="宋体" w:hAnsi="宋体" w:eastAsia="宋体" w:cs="宋体"/>
          <w:color w:val="auto"/>
          <w:sz w:val="22"/>
          <w:szCs w:val="22"/>
          <w:u w:val="single"/>
        </w:rPr>
        <w:t>（供应商的名称）</w:t>
      </w:r>
      <w:r>
        <w:rPr>
          <w:rFonts w:hint="eastAsia" w:ascii="宋体" w:hAnsi="宋体" w:eastAsia="宋体" w:cs="宋体"/>
          <w:color w:val="auto"/>
          <w:sz w:val="22"/>
          <w:szCs w:val="22"/>
        </w:rPr>
        <w:t>全权处理本项目磋商的有关事宜。</w:t>
      </w:r>
    </w:p>
    <w:p w14:paraId="76103E6E">
      <w:pPr>
        <w:tabs>
          <w:tab w:val="left" w:pos="0"/>
          <w:tab w:val="left" w:pos="840"/>
        </w:tabs>
        <w:spacing w:line="360" w:lineRule="auto"/>
        <w:ind w:firstLine="525"/>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2</w:t>
      </w:r>
      <w:r>
        <w:rPr>
          <w:rFonts w:hint="eastAsia" w:cs="宋体"/>
          <w:color w:val="auto"/>
          <w:sz w:val="22"/>
          <w:szCs w:val="22"/>
          <w:lang w:eastAsia="zh-CN"/>
        </w:rPr>
        <w:t>.</w:t>
      </w:r>
      <w:r>
        <w:rPr>
          <w:rFonts w:hint="eastAsia" w:ascii="宋体" w:hAnsi="宋体" w:eastAsia="宋体" w:cs="宋体"/>
          <w:color w:val="auto"/>
          <w:sz w:val="22"/>
          <w:szCs w:val="22"/>
        </w:rPr>
        <w:t>我方愿意按照竞争性磋商文件规定的各项要求，向采购人提供所需的服务，磋商报价为人民币</w:t>
      </w:r>
      <w:r>
        <w:rPr>
          <w:rFonts w:hint="eastAsia" w:ascii="宋体" w:hAnsi="宋体" w:eastAsia="宋体" w:cs="宋体"/>
          <w:color w:val="auto"/>
          <w:sz w:val="22"/>
          <w:szCs w:val="22"/>
          <w:u w:val="single"/>
        </w:rPr>
        <w:t>（大写）</w:t>
      </w:r>
      <w:r>
        <w:rPr>
          <w:rFonts w:hint="eastAsia" w:cs="宋体"/>
          <w:color w:val="auto"/>
          <w:sz w:val="22"/>
          <w:szCs w:val="22"/>
          <w:u w:val="single"/>
          <w:lang w:val="en-US" w:eastAsia="zh-CN"/>
        </w:rPr>
        <w:t xml:space="preserve">  </w:t>
      </w:r>
      <w:r>
        <w:rPr>
          <w:rFonts w:hint="eastAsia" w:ascii="宋体" w:hAnsi="宋体" w:eastAsia="宋体" w:cs="宋体"/>
          <w:color w:val="auto"/>
          <w:sz w:val="22"/>
          <w:szCs w:val="22"/>
          <w:u w:val="single"/>
        </w:rPr>
        <w:t>（小写：</w:t>
      </w:r>
      <w:r>
        <w:rPr>
          <w:rFonts w:hint="eastAsia" w:cs="宋体"/>
          <w:color w:val="auto"/>
          <w:sz w:val="22"/>
          <w:szCs w:val="22"/>
          <w:u w:val="single"/>
          <w:lang w:val="en-US" w:eastAsia="zh-CN"/>
        </w:rPr>
        <w:t xml:space="preserve">  </w:t>
      </w:r>
      <w:r>
        <w:rPr>
          <w:rFonts w:hint="eastAsia" w:ascii="宋体" w:hAnsi="宋体" w:eastAsia="宋体" w:cs="宋体"/>
          <w:color w:val="auto"/>
          <w:sz w:val="22"/>
          <w:szCs w:val="22"/>
          <w:u w:val="single"/>
        </w:rPr>
        <w:t>）；</w:t>
      </w:r>
      <w:r>
        <w:rPr>
          <w:rFonts w:hint="eastAsia" w:cs="宋体"/>
          <w:color w:val="auto"/>
          <w:sz w:val="22"/>
          <w:szCs w:val="22"/>
          <w:u w:val="single"/>
          <w:lang w:val="en-US" w:eastAsia="zh-CN"/>
        </w:rPr>
        <w:t xml:space="preserve">  </w:t>
      </w:r>
    </w:p>
    <w:p w14:paraId="0C9A1ACF">
      <w:pPr>
        <w:tabs>
          <w:tab w:val="left" w:pos="0"/>
          <w:tab w:val="left" w:pos="840"/>
        </w:tabs>
        <w:spacing w:line="360" w:lineRule="auto"/>
        <w:ind w:firstLine="525"/>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cs="宋体"/>
          <w:color w:val="auto"/>
          <w:sz w:val="22"/>
          <w:szCs w:val="22"/>
          <w:lang w:eastAsia="zh-CN"/>
        </w:rPr>
        <w:t>.</w:t>
      </w:r>
      <w:r>
        <w:rPr>
          <w:rFonts w:hint="eastAsia" w:ascii="宋体" w:hAnsi="宋体" w:eastAsia="宋体" w:cs="宋体"/>
          <w:color w:val="auto"/>
          <w:sz w:val="22"/>
          <w:szCs w:val="22"/>
        </w:rPr>
        <w:t>一旦我方成交，我方将严格履行合同规定的责任和义务，保证按时完成项目的工作内容。</w:t>
      </w:r>
    </w:p>
    <w:p w14:paraId="4AF03F2E">
      <w:pPr>
        <w:tabs>
          <w:tab w:val="left" w:pos="0"/>
          <w:tab w:val="left" w:pos="840"/>
        </w:tabs>
        <w:spacing w:line="360" w:lineRule="auto"/>
        <w:ind w:firstLine="525"/>
        <w:rPr>
          <w:rFonts w:hint="eastAsia" w:ascii="宋体" w:hAnsi="宋体" w:eastAsia="宋体" w:cs="宋体"/>
          <w:color w:val="auto"/>
          <w:sz w:val="22"/>
          <w:szCs w:val="22"/>
        </w:rPr>
      </w:pPr>
      <w:r>
        <w:rPr>
          <w:rFonts w:hint="eastAsia" w:ascii="宋体" w:hAnsi="宋体" w:eastAsia="宋体" w:cs="宋体"/>
          <w:color w:val="auto"/>
          <w:sz w:val="22"/>
          <w:szCs w:val="22"/>
        </w:rPr>
        <w:t>4</w:t>
      </w:r>
      <w:r>
        <w:rPr>
          <w:rFonts w:hint="eastAsia" w:cs="宋体"/>
          <w:color w:val="auto"/>
          <w:sz w:val="22"/>
          <w:szCs w:val="22"/>
          <w:lang w:eastAsia="zh-CN"/>
        </w:rPr>
        <w:t>.</w:t>
      </w:r>
      <w:r>
        <w:rPr>
          <w:rFonts w:hint="eastAsia" w:ascii="宋体" w:hAnsi="宋体" w:eastAsia="宋体" w:cs="宋体"/>
          <w:color w:val="auto"/>
          <w:sz w:val="22"/>
          <w:szCs w:val="22"/>
        </w:rPr>
        <w:t>我方承诺单位负责人与本项目投标的其他单位负责人不为同一人，且与本项目投标的其他单位不存在直接控股、管理关系。</w:t>
      </w:r>
    </w:p>
    <w:p w14:paraId="3F08FE05">
      <w:pPr>
        <w:tabs>
          <w:tab w:val="left" w:pos="0"/>
          <w:tab w:val="left" w:pos="840"/>
        </w:tabs>
        <w:spacing w:line="360" w:lineRule="auto"/>
        <w:ind w:firstLine="525"/>
        <w:rPr>
          <w:rFonts w:hint="eastAsia" w:ascii="宋体" w:hAnsi="宋体" w:eastAsia="宋体" w:cs="宋体"/>
          <w:color w:val="auto"/>
          <w:sz w:val="22"/>
          <w:szCs w:val="22"/>
        </w:rPr>
      </w:pPr>
      <w:r>
        <w:rPr>
          <w:rFonts w:hint="eastAsia" w:ascii="宋体" w:hAnsi="宋体" w:eastAsia="宋体" w:cs="宋体"/>
          <w:color w:val="auto"/>
          <w:sz w:val="22"/>
          <w:szCs w:val="22"/>
        </w:rPr>
        <w:t>5</w:t>
      </w:r>
      <w:r>
        <w:rPr>
          <w:rFonts w:hint="eastAsia" w:cs="宋体"/>
          <w:color w:val="auto"/>
          <w:sz w:val="22"/>
          <w:szCs w:val="22"/>
          <w:lang w:eastAsia="zh-CN"/>
        </w:rPr>
        <w:t>.</w:t>
      </w:r>
      <w:r>
        <w:rPr>
          <w:rFonts w:hint="eastAsia" w:ascii="宋体" w:hAnsi="宋体" w:eastAsia="宋体" w:cs="宋体"/>
          <w:color w:val="auto"/>
          <w:sz w:val="22"/>
          <w:szCs w:val="22"/>
        </w:rPr>
        <w:t>磋商有效期为</w:t>
      </w:r>
      <w:r>
        <w:rPr>
          <w:rFonts w:hint="eastAsia" w:ascii="宋体" w:hAnsi="宋体" w:eastAsia="宋体" w:cs="宋体"/>
          <w:color w:val="auto"/>
          <w:sz w:val="22"/>
          <w:szCs w:val="22"/>
          <w:lang w:eastAsia="zh-CN"/>
        </w:rPr>
        <w:t>60日历天（从首次响应文件递交截止时间起开始计算）</w:t>
      </w:r>
      <w:r>
        <w:rPr>
          <w:rFonts w:hint="eastAsia" w:ascii="宋体" w:hAnsi="宋体" w:eastAsia="宋体" w:cs="宋体"/>
          <w:color w:val="auto"/>
          <w:sz w:val="22"/>
          <w:szCs w:val="22"/>
        </w:rPr>
        <w:t>。</w:t>
      </w:r>
    </w:p>
    <w:p w14:paraId="0E10A842">
      <w:pPr>
        <w:tabs>
          <w:tab w:val="left" w:pos="0"/>
          <w:tab w:val="left" w:pos="840"/>
        </w:tabs>
        <w:spacing w:line="360" w:lineRule="auto"/>
        <w:ind w:firstLine="525"/>
        <w:rPr>
          <w:rFonts w:hint="eastAsia" w:ascii="宋体" w:hAnsi="宋体" w:eastAsia="宋体" w:cs="宋体"/>
          <w:color w:val="auto"/>
          <w:sz w:val="22"/>
          <w:szCs w:val="22"/>
        </w:rPr>
      </w:pPr>
      <w:r>
        <w:rPr>
          <w:rFonts w:hint="eastAsia" w:ascii="宋体" w:hAnsi="宋体" w:eastAsia="宋体" w:cs="宋体"/>
          <w:color w:val="auto"/>
          <w:sz w:val="22"/>
          <w:szCs w:val="22"/>
        </w:rPr>
        <w:t>6</w:t>
      </w:r>
      <w:r>
        <w:rPr>
          <w:rFonts w:hint="eastAsia" w:cs="宋体"/>
          <w:color w:val="auto"/>
          <w:sz w:val="22"/>
          <w:szCs w:val="22"/>
          <w:lang w:eastAsia="zh-CN"/>
        </w:rPr>
        <w:t>.</w:t>
      </w:r>
      <w:r>
        <w:rPr>
          <w:rFonts w:hint="eastAsia" w:ascii="宋体" w:hAnsi="宋体" w:eastAsia="宋体" w:cs="宋体"/>
          <w:color w:val="auto"/>
          <w:sz w:val="22"/>
          <w:szCs w:val="22"/>
        </w:rPr>
        <w:t>我方愿意提供贵单位可能另外要求的、与磋商有关的文件资料，并保证我方已提供和将要提供的文件是真实的、准确的。按照竞争性磋商文件的规定缴纳代理服务费。</w:t>
      </w:r>
    </w:p>
    <w:p w14:paraId="5C296D33">
      <w:pPr>
        <w:tabs>
          <w:tab w:val="left" w:pos="0"/>
          <w:tab w:val="left" w:pos="840"/>
        </w:tabs>
        <w:spacing w:line="360" w:lineRule="auto"/>
        <w:ind w:firstLine="525"/>
        <w:rPr>
          <w:rFonts w:hint="eastAsia" w:ascii="宋体" w:hAnsi="宋体" w:eastAsia="宋体" w:cs="宋体"/>
          <w:color w:val="auto"/>
          <w:sz w:val="22"/>
          <w:szCs w:val="22"/>
        </w:rPr>
      </w:pPr>
      <w:r>
        <w:rPr>
          <w:rFonts w:hint="eastAsia" w:ascii="宋体" w:hAnsi="宋体" w:eastAsia="宋体" w:cs="宋体"/>
          <w:color w:val="auto"/>
          <w:sz w:val="22"/>
          <w:szCs w:val="22"/>
        </w:rPr>
        <w:t>7</w:t>
      </w:r>
      <w:r>
        <w:rPr>
          <w:rFonts w:hint="eastAsia" w:cs="宋体"/>
          <w:color w:val="auto"/>
          <w:sz w:val="22"/>
          <w:szCs w:val="22"/>
          <w:lang w:eastAsia="zh-CN"/>
        </w:rPr>
        <w:t>.</w:t>
      </w:r>
      <w:r>
        <w:rPr>
          <w:rFonts w:hint="eastAsia" w:ascii="宋体" w:hAnsi="宋体" w:eastAsia="宋体" w:cs="宋体"/>
          <w:color w:val="auto"/>
          <w:sz w:val="22"/>
          <w:szCs w:val="22"/>
        </w:rPr>
        <w:t>在质量、性能和服务不相等情况下，我方完全理解并认可贵单位不一定将合同授予最低报价的供应商。</w:t>
      </w:r>
    </w:p>
    <w:p w14:paraId="3237112A">
      <w:pPr>
        <w:spacing w:line="360" w:lineRule="auto"/>
        <w:rPr>
          <w:rFonts w:hint="eastAsia" w:ascii="宋体" w:hAnsi="宋体" w:eastAsia="宋体" w:cs="宋体"/>
          <w:color w:val="auto"/>
          <w:sz w:val="22"/>
          <w:szCs w:val="22"/>
        </w:rPr>
      </w:pPr>
    </w:p>
    <w:p w14:paraId="1E48E763">
      <w:pPr>
        <w:spacing w:line="360" w:lineRule="auto"/>
        <w:ind w:firstLine="440" w:firstLineChars="200"/>
        <w:rPr>
          <w:rFonts w:hint="eastAsia" w:eastAsia="宋体"/>
          <w:lang w:val="en-US" w:eastAsia="zh-CN"/>
        </w:rPr>
      </w:pPr>
      <w:r>
        <w:rPr>
          <w:rFonts w:hint="eastAsia" w:ascii="宋体" w:hAnsi="宋体" w:eastAsia="宋体" w:cs="宋体"/>
          <w:color w:val="auto"/>
          <w:sz w:val="22"/>
          <w:szCs w:val="22"/>
        </w:rPr>
        <w:t>地址：</w:t>
      </w:r>
      <w:r>
        <w:rPr>
          <w:rFonts w:hint="eastAsia" w:ascii="宋体" w:hAnsi="宋体" w:eastAsia="宋体" w:cs="宋体"/>
          <w:color w:val="auto"/>
          <w:sz w:val="22"/>
          <w:szCs w:val="22"/>
          <w:lang w:val="en-US" w:eastAsia="zh-CN"/>
        </w:rPr>
        <w:t xml:space="preserve">                     电话</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 xml:space="preserve">                 邮箱：</w:t>
      </w:r>
    </w:p>
    <w:p w14:paraId="315186FE">
      <w:pPr>
        <w:spacing w:line="360" w:lineRule="auto"/>
        <w:rPr>
          <w:rFonts w:hint="eastAsia" w:ascii="宋体" w:hAnsi="宋体" w:eastAsia="宋体" w:cs="宋体"/>
          <w:color w:val="auto"/>
          <w:sz w:val="22"/>
          <w:szCs w:val="22"/>
        </w:rPr>
      </w:pPr>
    </w:p>
    <w:p w14:paraId="1AC5A107">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供应商：（</w:t>
      </w:r>
      <w:r>
        <w:rPr>
          <w:rFonts w:hint="eastAsia" w:ascii="宋体" w:hAnsi="宋体" w:eastAsia="宋体" w:cs="宋体"/>
          <w:color w:val="auto"/>
          <w:sz w:val="22"/>
          <w:szCs w:val="22"/>
          <w:lang w:eastAsia="zh-CN"/>
        </w:rPr>
        <w:t>盖单位公章</w:t>
      </w:r>
      <w:r>
        <w:rPr>
          <w:rFonts w:hint="eastAsia" w:ascii="宋体" w:hAnsi="宋体" w:eastAsia="宋体" w:cs="宋体"/>
          <w:color w:val="auto"/>
          <w:sz w:val="22"/>
          <w:szCs w:val="22"/>
        </w:rPr>
        <w:t>）</w:t>
      </w:r>
    </w:p>
    <w:p w14:paraId="2E526905">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法定代表人或其委托代理人</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签字或盖章</w:t>
      </w:r>
      <w:r>
        <w:rPr>
          <w:rFonts w:hint="eastAsia" w:ascii="宋体" w:hAnsi="宋体" w:eastAsia="宋体" w:cs="宋体"/>
          <w:color w:val="auto"/>
          <w:sz w:val="22"/>
          <w:szCs w:val="22"/>
        </w:rPr>
        <w:t>）</w:t>
      </w:r>
    </w:p>
    <w:p w14:paraId="6B24F7E4">
      <w:pPr>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日期：年月日</w:t>
      </w:r>
    </w:p>
    <w:p w14:paraId="6150CF77">
      <w:pPr>
        <w:spacing w:line="360" w:lineRule="auto"/>
        <w:rPr>
          <w:rFonts w:hint="eastAsia" w:ascii="宋体" w:hAnsi="宋体" w:eastAsia="宋体" w:cs="宋体"/>
          <w:color w:val="auto"/>
          <w:sz w:val="24"/>
          <w:szCs w:val="24"/>
          <w:highlight w:val="none"/>
          <w:lang w:eastAsia="zh-CN"/>
        </w:rPr>
        <w:sectPr>
          <w:pgSz w:w="11910" w:h="16840"/>
          <w:pgMar w:top="1440" w:right="1080" w:bottom="1440" w:left="1080" w:header="878" w:footer="1130" w:gutter="0"/>
          <w:pgNumType w:fmt="decimal"/>
          <w:cols w:space="720" w:num="1"/>
        </w:sectPr>
      </w:pPr>
    </w:p>
    <w:p w14:paraId="501A4AAE">
      <w:pPr>
        <w:pStyle w:val="11"/>
        <w:spacing w:line="360" w:lineRule="auto"/>
        <w:rPr>
          <w:rFonts w:hint="eastAsia" w:ascii="宋体" w:hAnsi="宋体" w:eastAsia="宋体" w:cs="宋体"/>
          <w:color w:val="auto"/>
          <w:sz w:val="20"/>
          <w:highlight w:val="none"/>
          <w:lang w:eastAsia="zh-CN"/>
        </w:rPr>
      </w:pPr>
    </w:p>
    <w:p w14:paraId="6BEAEE7C">
      <w:pPr>
        <w:pStyle w:val="4"/>
        <w:spacing w:before="207" w:line="360" w:lineRule="auto"/>
        <w:ind w:right="1"/>
        <w:rPr>
          <w:rFonts w:hint="eastAsia" w:ascii="宋体" w:hAnsi="宋体" w:eastAsia="宋体" w:cs="宋体"/>
          <w:color w:val="auto"/>
          <w:highlight w:val="none"/>
          <w:lang w:eastAsia="zh-CN"/>
        </w:rPr>
      </w:pPr>
      <w:bookmarkStart w:id="146" w:name="二、分项报价表"/>
      <w:bookmarkEnd w:id="146"/>
      <w:bookmarkStart w:id="147" w:name="_Toc20688"/>
      <w:bookmarkStart w:id="148" w:name="_Toc10154"/>
      <w:bookmarkStart w:id="149" w:name="_Toc9063"/>
      <w:r>
        <w:rPr>
          <w:rFonts w:hint="eastAsia" w:ascii="宋体" w:hAnsi="宋体" w:eastAsia="宋体" w:cs="宋体"/>
          <w:color w:val="auto"/>
          <w:highlight w:val="none"/>
          <w:lang w:eastAsia="zh-CN"/>
        </w:rPr>
        <w:t>（二）报价一览表</w:t>
      </w:r>
      <w:bookmarkEnd w:id="147"/>
      <w:bookmarkEnd w:id="148"/>
      <w:bookmarkEnd w:id="149"/>
    </w:p>
    <w:p w14:paraId="46BB52AE">
      <w:pPr>
        <w:pStyle w:val="11"/>
        <w:spacing w:line="360" w:lineRule="auto"/>
        <w:rPr>
          <w:rFonts w:hint="eastAsia" w:ascii="宋体" w:hAnsi="宋体" w:eastAsia="宋体" w:cs="宋体"/>
          <w:b/>
          <w:color w:val="auto"/>
          <w:sz w:val="20"/>
          <w:highlight w:val="none"/>
          <w:lang w:eastAsia="zh-CN"/>
        </w:rPr>
      </w:pPr>
    </w:p>
    <w:p w14:paraId="0B87F168">
      <w:pPr>
        <w:pStyle w:val="11"/>
        <w:spacing w:before="8" w:after="1" w:line="360" w:lineRule="auto"/>
        <w:rPr>
          <w:rFonts w:hint="eastAsia" w:ascii="宋体" w:hAnsi="宋体" w:eastAsia="宋体" w:cs="宋体"/>
          <w:b/>
          <w:color w:val="auto"/>
          <w:sz w:val="11"/>
          <w:highlight w:val="none"/>
          <w:lang w:eastAsia="zh-CN"/>
        </w:rPr>
      </w:pP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5"/>
        <w:gridCol w:w="1430"/>
        <w:gridCol w:w="1887"/>
        <w:gridCol w:w="2858"/>
      </w:tblGrid>
      <w:tr w14:paraId="14D40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02691FCD">
            <w:pPr>
              <w:pStyle w:val="57"/>
              <w:spacing w:line="360" w:lineRule="auto"/>
              <w:ind w:left="82" w:right="7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6175" w:type="dxa"/>
            <w:gridSpan w:val="3"/>
            <w:vAlign w:val="center"/>
          </w:tcPr>
          <w:p w14:paraId="4F7BE150">
            <w:pPr>
              <w:pStyle w:val="57"/>
              <w:spacing w:line="360" w:lineRule="auto"/>
              <w:jc w:val="center"/>
              <w:rPr>
                <w:rFonts w:hint="eastAsia" w:ascii="宋体" w:hAnsi="宋体" w:eastAsia="宋体" w:cs="宋体"/>
                <w:color w:val="auto"/>
                <w:sz w:val="22"/>
                <w:szCs w:val="22"/>
                <w:highlight w:val="none"/>
              </w:rPr>
            </w:pPr>
          </w:p>
        </w:tc>
      </w:tr>
      <w:tr w14:paraId="64979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2884A2F1">
            <w:pPr>
              <w:pStyle w:val="57"/>
              <w:spacing w:line="360" w:lineRule="auto"/>
              <w:ind w:left="87" w:right="78"/>
              <w:jc w:val="center"/>
              <w:rPr>
                <w:rFonts w:hint="default" w:cs="宋体"/>
                <w:color w:val="auto"/>
                <w:sz w:val="22"/>
                <w:szCs w:val="22"/>
                <w:highlight w:val="none"/>
                <w:lang w:val="en-US" w:eastAsia="zh-CN"/>
              </w:rPr>
            </w:pPr>
            <w:r>
              <w:rPr>
                <w:rFonts w:hint="eastAsia" w:cs="宋体"/>
                <w:color w:val="auto"/>
                <w:sz w:val="22"/>
                <w:szCs w:val="22"/>
                <w:highlight w:val="none"/>
                <w:lang w:val="en-US" w:eastAsia="zh-CN"/>
              </w:rPr>
              <w:t>项目包号</w:t>
            </w:r>
          </w:p>
        </w:tc>
        <w:tc>
          <w:tcPr>
            <w:tcW w:w="6175" w:type="dxa"/>
            <w:gridSpan w:val="3"/>
            <w:vAlign w:val="center"/>
          </w:tcPr>
          <w:p w14:paraId="53C96A9D">
            <w:pPr>
              <w:pStyle w:val="57"/>
              <w:spacing w:line="360" w:lineRule="auto"/>
              <w:jc w:val="center"/>
              <w:rPr>
                <w:rFonts w:hint="eastAsia" w:ascii="宋体" w:hAnsi="宋体" w:eastAsia="宋体" w:cs="宋体"/>
                <w:color w:val="auto"/>
                <w:sz w:val="22"/>
                <w:szCs w:val="22"/>
                <w:highlight w:val="none"/>
              </w:rPr>
            </w:pPr>
          </w:p>
        </w:tc>
      </w:tr>
      <w:tr w14:paraId="17273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05398ACF">
            <w:pPr>
              <w:pStyle w:val="57"/>
              <w:spacing w:line="360" w:lineRule="auto"/>
              <w:ind w:left="87" w:right="78"/>
              <w:jc w:val="center"/>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响应内容</w:t>
            </w:r>
          </w:p>
        </w:tc>
        <w:tc>
          <w:tcPr>
            <w:tcW w:w="6175" w:type="dxa"/>
            <w:gridSpan w:val="3"/>
            <w:vAlign w:val="center"/>
          </w:tcPr>
          <w:p w14:paraId="2D24BBFE">
            <w:pPr>
              <w:pStyle w:val="57"/>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施工阶段及缺陷责任期全过程监理工作</w:t>
            </w:r>
          </w:p>
        </w:tc>
      </w:tr>
      <w:tr w14:paraId="2A8D5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0EF4DA77">
            <w:pPr>
              <w:pStyle w:val="57"/>
              <w:spacing w:line="360" w:lineRule="auto"/>
              <w:ind w:left="87" w:right="7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p>
        </w:tc>
        <w:tc>
          <w:tcPr>
            <w:tcW w:w="6175" w:type="dxa"/>
            <w:gridSpan w:val="3"/>
          </w:tcPr>
          <w:p w14:paraId="6925DD19">
            <w:pPr>
              <w:pStyle w:val="57"/>
              <w:spacing w:line="360" w:lineRule="auto"/>
              <w:rPr>
                <w:rFonts w:hint="eastAsia" w:ascii="宋体" w:hAnsi="宋体" w:eastAsia="宋体" w:cs="宋体"/>
                <w:color w:val="auto"/>
                <w:sz w:val="22"/>
                <w:szCs w:val="22"/>
                <w:highlight w:val="none"/>
              </w:rPr>
            </w:pPr>
          </w:p>
        </w:tc>
      </w:tr>
      <w:tr w14:paraId="71B0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34248C13">
            <w:pPr>
              <w:pStyle w:val="57"/>
              <w:spacing w:line="360" w:lineRule="auto"/>
              <w:ind w:left="82" w:right="78"/>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报价</w:t>
            </w:r>
          </w:p>
        </w:tc>
        <w:tc>
          <w:tcPr>
            <w:tcW w:w="6175" w:type="dxa"/>
            <w:gridSpan w:val="3"/>
          </w:tcPr>
          <w:p w14:paraId="7FF885FF">
            <w:pPr>
              <w:pStyle w:val="57"/>
              <w:spacing w:before="140" w:line="360" w:lineRule="auto"/>
              <w:ind w:left="107"/>
              <w:rPr>
                <w:rFonts w:hint="eastAsia" w:cs="宋体"/>
                <w:color w:val="auto"/>
                <w:sz w:val="22"/>
                <w:szCs w:val="22"/>
                <w:highlight w:val="none"/>
                <w:u w:val="single"/>
                <w:lang w:val="en-US" w:eastAsia="zh-CN"/>
              </w:rPr>
            </w:pPr>
            <w:r>
              <w:rPr>
                <w:rFonts w:hint="eastAsia" w:ascii="宋体" w:hAnsi="宋体" w:eastAsia="宋体" w:cs="宋体"/>
                <w:color w:val="auto"/>
                <w:sz w:val="22"/>
                <w:szCs w:val="22"/>
                <w:highlight w:val="none"/>
              </w:rPr>
              <w:t>大写：</w:t>
            </w:r>
            <w:r>
              <w:rPr>
                <w:rFonts w:hint="eastAsia" w:cs="宋体"/>
                <w:color w:val="auto"/>
                <w:sz w:val="22"/>
                <w:szCs w:val="22"/>
                <w:highlight w:val="none"/>
                <w:u w:val="single"/>
                <w:lang w:val="en-US" w:eastAsia="zh-CN"/>
              </w:rPr>
              <w:t xml:space="preserve">               </w:t>
            </w:r>
          </w:p>
          <w:p w14:paraId="79DB065E">
            <w:pPr>
              <w:pStyle w:val="57"/>
              <w:spacing w:before="140" w:line="360" w:lineRule="auto"/>
              <w:ind w:left="10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ab/>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元</w:t>
            </w:r>
          </w:p>
        </w:tc>
      </w:tr>
      <w:tr w14:paraId="6370A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40D92B40">
            <w:pPr>
              <w:spacing w:before="10" w:line="360" w:lineRule="auto"/>
              <w:jc w:val="center"/>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项目总监</w:t>
            </w:r>
          </w:p>
        </w:tc>
        <w:tc>
          <w:tcPr>
            <w:tcW w:w="1430" w:type="dxa"/>
            <w:vAlign w:val="center"/>
          </w:tcPr>
          <w:p w14:paraId="5F69ECFD">
            <w:pPr>
              <w:pStyle w:val="57"/>
              <w:keepNext w:val="0"/>
              <w:keepLines w:val="0"/>
              <w:pageBreakBefore w:val="0"/>
              <w:widowControl w:val="0"/>
              <w:kinsoku/>
              <w:wordWrap w:val="0"/>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1887" w:type="dxa"/>
            <w:vAlign w:val="center"/>
          </w:tcPr>
          <w:p w14:paraId="3A879920">
            <w:pPr>
              <w:pStyle w:val="57"/>
              <w:keepNext w:val="0"/>
              <w:keepLines w:val="0"/>
              <w:pageBreakBefore w:val="0"/>
              <w:widowControl w:val="0"/>
              <w:kinsoku/>
              <w:wordWrap w:val="0"/>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级别：</w:t>
            </w:r>
          </w:p>
        </w:tc>
        <w:tc>
          <w:tcPr>
            <w:tcW w:w="2858" w:type="dxa"/>
            <w:vAlign w:val="center"/>
          </w:tcPr>
          <w:p w14:paraId="4C5FA3C1">
            <w:pPr>
              <w:pStyle w:val="57"/>
              <w:keepNext w:val="0"/>
              <w:keepLines w:val="0"/>
              <w:pageBreakBefore w:val="0"/>
              <w:widowControl w:val="0"/>
              <w:kinsoku/>
              <w:wordWrap w:val="0"/>
              <w:overflowPunct/>
              <w:topLinePunct w:val="0"/>
              <w:autoSpaceDE w:val="0"/>
              <w:autoSpaceDN w:val="0"/>
              <w:bidi w:val="0"/>
              <w:adjustRightInd/>
              <w:snapToGrid/>
              <w:spacing w:line="360" w:lineRule="auto"/>
              <w:ind w:left="44" w:leftChars="20"/>
              <w:jc w:val="both"/>
              <w:textAlignment w:val="auto"/>
              <w:rPr>
                <w:rFonts w:hint="default" w:cs="宋体"/>
                <w:color w:val="auto"/>
                <w:sz w:val="22"/>
                <w:szCs w:val="22"/>
                <w:highlight w:val="none"/>
                <w:lang w:val="en-US" w:eastAsia="zh-CN"/>
              </w:rPr>
            </w:pPr>
            <w:r>
              <w:rPr>
                <w:rFonts w:hint="eastAsia" w:cs="宋体"/>
                <w:color w:val="auto"/>
                <w:sz w:val="22"/>
                <w:szCs w:val="22"/>
                <w:highlight w:val="none"/>
                <w:lang w:val="en-US" w:eastAsia="zh-CN"/>
              </w:rPr>
              <w:t>注册证号：</w:t>
            </w:r>
          </w:p>
        </w:tc>
      </w:tr>
      <w:tr w14:paraId="5AA20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522E9604">
            <w:pPr>
              <w:spacing w:before="10" w:line="360" w:lineRule="auto"/>
              <w:jc w:val="center"/>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监理服务期</w:t>
            </w:r>
          </w:p>
        </w:tc>
        <w:tc>
          <w:tcPr>
            <w:tcW w:w="6175" w:type="dxa"/>
            <w:gridSpan w:val="3"/>
          </w:tcPr>
          <w:p w14:paraId="4B6AD21B">
            <w:pPr>
              <w:pStyle w:val="57"/>
              <w:spacing w:line="360" w:lineRule="auto"/>
              <w:jc w:val="center"/>
              <w:rPr>
                <w:rFonts w:hint="eastAsia" w:ascii="宋体" w:hAnsi="宋体" w:eastAsia="宋体" w:cs="宋体"/>
                <w:color w:val="auto"/>
                <w:sz w:val="22"/>
                <w:szCs w:val="22"/>
                <w:highlight w:val="none"/>
                <w:lang w:val="en" w:eastAsia="zh-CN"/>
              </w:rPr>
            </w:pPr>
          </w:p>
        </w:tc>
      </w:tr>
      <w:tr w14:paraId="03E1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348A91B9">
            <w:pPr>
              <w:spacing w:before="10" w:line="360" w:lineRule="auto"/>
              <w:jc w:val="center"/>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项目</w:t>
            </w:r>
            <w:r>
              <w:rPr>
                <w:rFonts w:hint="eastAsia" w:ascii="宋体" w:hAnsi="宋体" w:eastAsia="宋体" w:cs="宋体"/>
                <w:color w:val="auto"/>
                <w:sz w:val="22"/>
                <w:szCs w:val="22"/>
                <w:highlight w:val="none"/>
                <w:lang w:eastAsia="zh-CN"/>
              </w:rPr>
              <w:t>地点</w:t>
            </w:r>
          </w:p>
        </w:tc>
        <w:tc>
          <w:tcPr>
            <w:tcW w:w="6175" w:type="dxa"/>
            <w:gridSpan w:val="3"/>
          </w:tcPr>
          <w:p w14:paraId="3250677D">
            <w:pPr>
              <w:pStyle w:val="57"/>
              <w:spacing w:line="360" w:lineRule="auto"/>
              <w:jc w:val="center"/>
              <w:rPr>
                <w:rFonts w:hint="eastAsia" w:ascii="宋体" w:hAnsi="宋体" w:eastAsia="宋体" w:cs="宋体"/>
                <w:color w:val="auto"/>
                <w:sz w:val="22"/>
                <w:szCs w:val="22"/>
                <w:highlight w:val="none"/>
                <w:lang w:val="en" w:eastAsia="zh-CN"/>
              </w:rPr>
            </w:pPr>
          </w:p>
        </w:tc>
      </w:tr>
      <w:tr w14:paraId="51B88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55AB16F9">
            <w:pPr>
              <w:spacing w:before="10"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质量</w:t>
            </w:r>
            <w:r>
              <w:rPr>
                <w:rFonts w:hint="eastAsia" w:cs="宋体"/>
                <w:color w:val="auto"/>
                <w:sz w:val="22"/>
                <w:szCs w:val="22"/>
                <w:highlight w:val="none"/>
                <w:lang w:val="en-US" w:eastAsia="zh-CN"/>
              </w:rPr>
              <w:t>要求</w:t>
            </w:r>
          </w:p>
        </w:tc>
        <w:tc>
          <w:tcPr>
            <w:tcW w:w="6175" w:type="dxa"/>
            <w:gridSpan w:val="3"/>
          </w:tcPr>
          <w:p w14:paraId="790D365B">
            <w:pPr>
              <w:pStyle w:val="57"/>
              <w:spacing w:line="360" w:lineRule="auto"/>
              <w:jc w:val="center"/>
              <w:rPr>
                <w:rFonts w:hint="eastAsia" w:ascii="宋体" w:hAnsi="宋体" w:eastAsia="宋体" w:cs="宋体"/>
                <w:color w:val="auto"/>
                <w:sz w:val="22"/>
                <w:szCs w:val="22"/>
                <w:highlight w:val="none"/>
                <w:lang w:val="en" w:eastAsia="zh-CN"/>
              </w:rPr>
            </w:pPr>
          </w:p>
        </w:tc>
      </w:tr>
      <w:tr w14:paraId="3F5FA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2039EB46">
            <w:pPr>
              <w:spacing w:before="10" w:line="360" w:lineRule="auto"/>
              <w:jc w:val="center"/>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权利义务</w:t>
            </w:r>
          </w:p>
        </w:tc>
        <w:tc>
          <w:tcPr>
            <w:tcW w:w="6175" w:type="dxa"/>
            <w:gridSpan w:val="3"/>
            <w:vAlign w:val="center"/>
          </w:tcPr>
          <w:p w14:paraId="6D5BE255">
            <w:pPr>
              <w:pStyle w:val="57"/>
              <w:spacing w:line="360" w:lineRule="auto"/>
              <w:jc w:val="center"/>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符合第四章“合同条款及格式”要求</w:t>
            </w:r>
          </w:p>
        </w:tc>
      </w:tr>
      <w:tr w14:paraId="2CA4A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7D4D0EC1">
            <w:pPr>
              <w:spacing w:before="10"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技术标准和要求</w:t>
            </w:r>
          </w:p>
        </w:tc>
        <w:tc>
          <w:tcPr>
            <w:tcW w:w="6175" w:type="dxa"/>
            <w:gridSpan w:val="3"/>
            <w:vAlign w:val="center"/>
          </w:tcPr>
          <w:p w14:paraId="0954F239">
            <w:pPr>
              <w:pStyle w:val="57"/>
              <w:spacing w:line="360" w:lineRule="auto"/>
              <w:jc w:val="center"/>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符合第</w:t>
            </w:r>
            <w:r>
              <w:rPr>
                <w:rFonts w:hint="eastAsia" w:cs="宋体"/>
                <w:color w:val="auto"/>
                <w:sz w:val="22"/>
                <w:szCs w:val="22"/>
                <w:highlight w:val="none"/>
                <w:lang w:val="en-US" w:eastAsia="zh-CN"/>
              </w:rPr>
              <w:t>六</w:t>
            </w:r>
            <w:r>
              <w:rPr>
                <w:rFonts w:hint="eastAsia" w:ascii="宋体" w:hAnsi="宋体" w:eastAsia="宋体" w:cs="宋体"/>
                <w:color w:val="auto"/>
                <w:sz w:val="22"/>
                <w:szCs w:val="22"/>
                <w:highlight w:val="none"/>
                <w:lang w:val="en" w:eastAsia="zh-CN"/>
              </w:rPr>
              <w:t>章“技术标准和要求”规定</w:t>
            </w:r>
          </w:p>
        </w:tc>
      </w:tr>
      <w:tr w14:paraId="42D9E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6AF2FA5B">
            <w:pPr>
              <w:spacing w:before="10"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磋商</w:t>
            </w:r>
            <w:r>
              <w:rPr>
                <w:rFonts w:hint="eastAsia" w:ascii="宋体" w:hAnsi="宋体" w:eastAsia="宋体" w:cs="宋体"/>
                <w:color w:val="auto"/>
                <w:sz w:val="22"/>
                <w:szCs w:val="22"/>
                <w:highlight w:val="none"/>
              </w:rPr>
              <w:t>有效期</w:t>
            </w:r>
          </w:p>
        </w:tc>
        <w:tc>
          <w:tcPr>
            <w:tcW w:w="6175" w:type="dxa"/>
            <w:gridSpan w:val="3"/>
          </w:tcPr>
          <w:p w14:paraId="7BD9DFB2">
            <w:pPr>
              <w:pStyle w:val="57"/>
              <w:spacing w:line="360" w:lineRule="auto"/>
              <w:jc w:val="center"/>
              <w:rPr>
                <w:rFonts w:hint="eastAsia" w:ascii="宋体" w:hAnsi="宋体" w:eastAsia="宋体" w:cs="宋体"/>
                <w:color w:val="auto"/>
                <w:sz w:val="22"/>
                <w:szCs w:val="22"/>
                <w:highlight w:val="none"/>
                <w:lang w:val="en" w:eastAsia="zh-CN"/>
              </w:rPr>
            </w:pPr>
          </w:p>
        </w:tc>
      </w:tr>
      <w:tr w14:paraId="0B7EF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3C25CE88">
            <w:pPr>
              <w:pStyle w:val="57"/>
              <w:spacing w:line="360" w:lineRule="auto"/>
              <w:ind w:left="82" w:right="7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其他声明</w:t>
            </w:r>
          </w:p>
        </w:tc>
        <w:tc>
          <w:tcPr>
            <w:tcW w:w="6175" w:type="dxa"/>
            <w:gridSpan w:val="3"/>
          </w:tcPr>
          <w:p w14:paraId="285CFB72">
            <w:pPr>
              <w:pStyle w:val="57"/>
              <w:spacing w:line="360" w:lineRule="auto"/>
              <w:rPr>
                <w:rFonts w:hint="eastAsia" w:ascii="宋体" w:hAnsi="宋体" w:eastAsia="宋体" w:cs="宋体"/>
                <w:color w:val="auto"/>
                <w:sz w:val="22"/>
                <w:szCs w:val="22"/>
                <w:highlight w:val="none"/>
              </w:rPr>
            </w:pPr>
          </w:p>
        </w:tc>
      </w:tr>
    </w:tbl>
    <w:p w14:paraId="60D364E2">
      <w:pPr>
        <w:pStyle w:val="11"/>
        <w:spacing w:before="7" w:line="360" w:lineRule="auto"/>
        <w:rPr>
          <w:rFonts w:hint="eastAsia" w:ascii="宋体" w:hAnsi="宋体" w:eastAsia="宋体" w:cs="宋体"/>
          <w:b/>
          <w:color w:val="auto"/>
          <w:sz w:val="26"/>
          <w:highlight w:val="none"/>
        </w:rPr>
      </w:pPr>
    </w:p>
    <w:p w14:paraId="0CDD369A">
      <w:pPr>
        <w:spacing w:line="560" w:lineRule="exact"/>
        <w:ind w:firstLine="880" w:firstLineChars="400"/>
        <w:rPr>
          <w:rFonts w:hint="eastAsia" w:ascii="宋体" w:hAnsi="宋体" w:eastAsia="宋体" w:cs="宋体"/>
          <w:color w:val="auto"/>
          <w:sz w:val="22"/>
          <w:szCs w:val="22"/>
        </w:rPr>
      </w:pPr>
      <w:r>
        <w:rPr>
          <w:rFonts w:hint="eastAsia" w:ascii="宋体" w:hAnsi="宋体" w:eastAsia="宋体" w:cs="宋体"/>
          <w:color w:val="auto"/>
          <w:sz w:val="22"/>
          <w:szCs w:val="22"/>
        </w:rPr>
        <w:t>供应商：（</w:t>
      </w:r>
      <w:r>
        <w:rPr>
          <w:rFonts w:hint="eastAsia" w:cs="宋体"/>
          <w:color w:val="auto"/>
          <w:sz w:val="22"/>
          <w:szCs w:val="22"/>
          <w:lang w:eastAsia="zh-CN"/>
        </w:rPr>
        <w:t>盖单位公章</w:t>
      </w:r>
      <w:r>
        <w:rPr>
          <w:rFonts w:hint="eastAsia" w:ascii="宋体" w:hAnsi="宋体" w:eastAsia="宋体" w:cs="宋体"/>
          <w:color w:val="auto"/>
          <w:sz w:val="22"/>
          <w:szCs w:val="22"/>
        </w:rPr>
        <w:t>)</w:t>
      </w:r>
    </w:p>
    <w:p w14:paraId="1F8F4168">
      <w:pPr>
        <w:spacing w:line="560" w:lineRule="exact"/>
        <w:ind w:firstLine="880" w:firstLineChars="40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法定代表人或其委托代理人</w:t>
      </w:r>
      <w:r>
        <w:rPr>
          <w:rFonts w:hint="eastAsia" w:ascii="宋体" w:hAnsi="宋体" w:eastAsia="宋体" w:cs="宋体"/>
          <w:color w:val="auto"/>
          <w:sz w:val="22"/>
          <w:szCs w:val="22"/>
        </w:rPr>
        <w:t>：（</w:t>
      </w:r>
      <w:r>
        <w:rPr>
          <w:rFonts w:hint="eastAsia" w:cs="宋体"/>
          <w:color w:val="auto"/>
          <w:sz w:val="22"/>
          <w:szCs w:val="22"/>
          <w:lang w:eastAsia="zh-CN"/>
        </w:rPr>
        <w:t>签字或盖章</w:t>
      </w:r>
      <w:r>
        <w:rPr>
          <w:rFonts w:hint="eastAsia" w:ascii="宋体" w:hAnsi="宋体" w:eastAsia="宋体" w:cs="宋体"/>
          <w:color w:val="auto"/>
          <w:sz w:val="22"/>
          <w:szCs w:val="22"/>
        </w:rPr>
        <w:t>）</w:t>
      </w:r>
    </w:p>
    <w:p w14:paraId="7596D9B1">
      <w:pPr>
        <w:pStyle w:val="10"/>
        <w:spacing w:line="560" w:lineRule="exact"/>
        <w:ind w:firstLine="880" w:firstLineChars="400"/>
        <w:rPr>
          <w:rFonts w:hint="eastAsia" w:ascii="宋体" w:hAnsi="宋体" w:eastAsia="宋体" w:cs="宋体"/>
          <w:color w:val="auto"/>
          <w:sz w:val="22"/>
          <w:szCs w:val="22"/>
        </w:rPr>
      </w:pPr>
      <w:r>
        <w:rPr>
          <w:rFonts w:hint="eastAsia" w:ascii="宋体" w:hAnsi="宋体" w:eastAsia="宋体" w:cs="宋体"/>
          <w:color w:val="auto"/>
          <w:sz w:val="22"/>
          <w:szCs w:val="22"/>
        </w:rPr>
        <w:t>日期：年月日</w:t>
      </w:r>
    </w:p>
    <w:p w14:paraId="0D9EB061">
      <w:pPr>
        <w:spacing w:line="360" w:lineRule="auto"/>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p>
    <w:p w14:paraId="27E53128">
      <w:pPr>
        <w:pStyle w:val="3"/>
        <w:spacing w:line="360" w:lineRule="auto"/>
        <w:ind w:left="25" w:right="1"/>
        <w:outlineLvl w:val="1"/>
        <w:rPr>
          <w:rFonts w:hint="eastAsia" w:ascii="宋体" w:hAnsi="宋体" w:eastAsia="宋体" w:cs="宋体"/>
          <w:b/>
          <w:bCs/>
          <w:color w:val="auto"/>
          <w:sz w:val="28"/>
          <w:szCs w:val="28"/>
          <w:highlight w:val="none"/>
          <w:lang w:eastAsia="zh-CN"/>
        </w:rPr>
      </w:pPr>
      <w:bookmarkStart w:id="150" w:name="_Toc5716"/>
      <w:bookmarkStart w:id="151" w:name="_Toc14083"/>
      <w:bookmarkStart w:id="152" w:name="_Toc16108"/>
      <w:r>
        <w:rPr>
          <w:rFonts w:hint="eastAsia"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eastAsia="zh-CN"/>
        </w:rPr>
        <w:t>、法定代表人身份证明或附有法定代表人身份证明的授权委托书</w:t>
      </w:r>
      <w:bookmarkEnd w:id="150"/>
      <w:bookmarkEnd w:id="151"/>
      <w:bookmarkEnd w:id="152"/>
    </w:p>
    <w:p w14:paraId="65E88984">
      <w:pPr>
        <w:pStyle w:val="11"/>
        <w:spacing w:line="360" w:lineRule="auto"/>
        <w:rPr>
          <w:rFonts w:hint="eastAsia" w:ascii="宋体" w:hAnsi="宋体" w:eastAsia="宋体" w:cs="宋体"/>
          <w:b/>
          <w:color w:val="auto"/>
          <w:sz w:val="24"/>
          <w:highlight w:val="none"/>
          <w:lang w:eastAsia="zh-CN"/>
        </w:rPr>
      </w:pPr>
    </w:p>
    <w:p w14:paraId="48E6E529">
      <w:pPr>
        <w:pStyle w:val="4"/>
        <w:spacing w:before="158" w:line="360" w:lineRule="auto"/>
        <w:ind w:left="20" w:right="1"/>
        <w:jc w:val="center"/>
        <w:outlineLvl w:val="2"/>
        <w:rPr>
          <w:rFonts w:hint="eastAsia" w:ascii="宋体" w:hAnsi="宋体" w:eastAsia="宋体" w:cs="宋体"/>
          <w:color w:val="auto"/>
          <w:highlight w:val="none"/>
          <w:lang w:eastAsia="zh-CN"/>
        </w:rPr>
      </w:pPr>
      <w:bookmarkStart w:id="153" w:name="（一）法定代表人（或非法人组织负责人）身份证明书"/>
      <w:bookmarkEnd w:id="153"/>
      <w:bookmarkStart w:id="154" w:name="_Toc15477"/>
      <w:bookmarkStart w:id="155" w:name="_Toc26423"/>
      <w:bookmarkStart w:id="156" w:name="_Toc23779"/>
      <w:r>
        <w:rPr>
          <w:rFonts w:hint="eastAsia" w:ascii="宋体" w:hAnsi="宋体" w:eastAsia="宋体" w:cs="宋体"/>
          <w:color w:val="auto"/>
          <w:highlight w:val="none"/>
          <w:lang w:eastAsia="zh-CN"/>
        </w:rPr>
        <w:t>（一）法定代表人（或非法人组织负责人）身份证明书</w:t>
      </w:r>
      <w:bookmarkEnd w:id="154"/>
      <w:bookmarkEnd w:id="155"/>
      <w:bookmarkEnd w:id="156"/>
    </w:p>
    <w:p w14:paraId="4F30BB86">
      <w:pPr>
        <w:pStyle w:val="11"/>
        <w:tabs>
          <w:tab w:val="left" w:pos="5073"/>
        </w:tabs>
        <w:spacing w:before="190"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r>
        <w:rPr>
          <w:rFonts w:hint="eastAsia" w:ascii="宋体" w:hAnsi="宋体" w:eastAsia="宋体" w:cs="宋体"/>
          <w:color w:val="auto"/>
          <w:sz w:val="22"/>
          <w:szCs w:val="22"/>
          <w:highlight w:val="none"/>
          <w:u w:val="single"/>
          <w:lang w:eastAsia="zh-CN"/>
        </w:rPr>
        <w:tab/>
      </w:r>
    </w:p>
    <w:p w14:paraId="1C746B2A">
      <w:pPr>
        <w:pStyle w:val="11"/>
        <w:tabs>
          <w:tab w:val="left" w:pos="5179"/>
        </w:tabs>
        <w:spacing w:before="76"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单位性质： </w:t>
      </w:r>
      <w:r>
        <w:rPr>
          <w:rFonts w:hint="eastAsia" w:ascii="宋体" w:hAnsi="宋体" w:eastAsia="宋体" w:cs="宋体"/>
          <w:color w:val="auto"/>
          <w:sz w:val="22"/>
          <w:szCs w:val="22"/>
          <w:highlight w:val="none"/>
          <w:u w:val="single"/>
          <w:lang w:eastAsia="zh-CN"/>
        </w:rPr>
        <w:tab/>
      </w:r>
    </w:p>
    <w:p w14:paraId="5C82CF58">
      <w:pPr>
        <w:pStyle w:val="11"/>
        <w:tabs>
          <w:tab w:val="left" w:pos="5179"/>
        </w:tabs>
        <w:spacing w:before="76" w:line="360" w:lineRule="auto"/>
        <w:ind w:left="822"/>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lang w:eastAsia="zh-CN"/>
        </w:rPr>
        <w:t xml:space="preserve">地址： </w:t>
      </w:r>
      <w:r>
        <w:rPr>
          <w:rFonts w:hint="eastAsia" w:ascii="宋体" w:hAnsi="宋体" w:eastAsia="宋体" w:cs="宋体"/>
          <w:color w:val="auto"/>
          <w:sz w:val="22"/>
          <w:szCs w:val="22"/>
          <w:highlight w:val="none"/>
          <w:u w:val="single"/>
          <w:lang w:eastAsia="zh-CN"/>
        </w:rPr>
        <w:tab/>
      </w:r>
    </w:p>
    <w:p w14:paraId="161A96FA">
      <w:pPr>
        <w:pStyle w:val="11"/>
        <w:tabs>
          <w:tab w:val="left" w:pos="880"/>
        </w:tabs>
        <w:spacing w:before="76"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成立时间：</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ab/>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ab/>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 xml:space="preserve">日 </w:t>
      </w:r>
    </w:p>
    <w:p w14:paraId="6C21A567">
      <w:pPr>
        <w:pStyle w:val="11"/>
        <w:tabs>
          <w:tab w:val="left" w:pos="5179"/>
        </w:tabs>
        <w:spacing w:before="76"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经营期限：</w:t>
      </w:r>
      <w:r>
        <w:rPr>
          <w:rFonts w:hint="eastAsia" w:ascii="宋体" w:hAnsi="宋体" w:eastAsia="宋体" w:cs="宋体"/>
          <w:color w:val="auto"/>
          <w:sz w:val="22"/>
          <w:szCs w:val="22"/>
          <w:highlight w:val="none"/>
          <w:u w:val="single"/>
          <w:lang w:eastAsia="zh-CN"/>
        </w:rPr>
        <w:tab/>
      </w:r>
    </w:p>
    <w:p w14:paraId="161F3A61">
      <w:pPr>
        <w:pStyle w:val="11"/>
        <w:tabs>
          <w:tab w:val="left" w:pos="2344"/>
          <w:tab w:val="left" w:pos="4024"/>
          <w:tab w:val="left" w:pos="5547"/>
          <w:tab w:val="left" w:pos="7487"/>
        </w:tabs>
        <w:spacing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姓名：</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性别：</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年龄：</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w w:val="95"/>
          <w:sz w:val="22"/>
          <w:szCs w:val="22"/>
          <w:highlight w:val="none"/>
          <w:lang w:eastAsia="zh-CN"/>
        </w:rPr>
        <w:t>现任职务：</w:t>
      </w:r>
      <w:r>
        <w:rPr>
          <w:rFonts w:hint="eastAsia" w:ascii="宋体" w:hAnsi="宋体" w:eastAsia="宋体" w:cs="宋体"/>
          <w:color w:val="auto"/>
          <w:sz w:val="22"/>
          <w:szCs w:val="22"/>
          <w:highlight w:val="none"/>
          <w:u w:val="single"/>
          <w:lang w:eastAsia="zh-CN"/>
        </w:rPr>
        <w:tab/>
      </w:r>
    </w:p>
    <w:p w14:paraId="6C5AE8BE">
      <w:pPr>
        <w:pStyle w:val="11"/>
        <w:tabs>
          <w:tab w:val="left" w:pos="4130"/>
        </w:tabs>
        <w:spacing w:before="77" w:line="360" w:lineRule="auto"/>
        <w:ind w:left="402" w:right="399"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系</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（供应商名称</w:t>
      </w:r>
      <w:r>
        <w:rPr>
          <w:rFonts w:hint="eastAsia" w:ascii="宋体" w:hAnsi="宋体" w:eastAsia="宋体" w:cs="宋体"/>
          <w:color w:val="auto"/>
          <w:spacing w:val="-34"/>
          <w:sz w:val="22"/>
          <w:szCs w:val="22"/>
          <w:highlight w:val="none"/>
          <w:lang w:eastAsia="zh-CN"/>
        </w:rPr>
        <w:t>）</w:t>
      </w:r>
      <w:r>
        <w:rPr>
          <w:rFonts w:hint="eastAsia" w:ascii="宋体" w:hAnsi="宋体" w:eastAsia="宋体" w:cs="宋体"/>
          <w:color w:val="auto"/>
          <w:sz w:val="22"/>
          <w:szCs w:val="22"/>
          <w:highlight w:val="none"/>
          <w:lang w:eastAsia="zh-CN"/>
        </w:rPr>
        <w:t>的法定代表</w:t>
      </w:r>
      <w:r>
        <w:rPr>
          <w:rFonts w:hint="eastAsia" w:ascii="宋体" w:hAnsi="宋体" w:eastAsia="宋体" w:cs="宋体"/>
          <w:color w:val="auto"/>
          <w:spacing w:val="-32"/>
          <w:sz w:val="22"/>
          <w:szCs w:val="22"/>
          <w:highlight w:val="none"/>
          <w:lang w:eastAsia="zh-CN"/>
        </w:rPr>
        <w:t>人</w:t>
      </w:r>
      <w:r>
        <w:rPr>
          <w:rFonts w:hint="eastAsia" w:ascii="宋体" w:hAnsi="宋体" w:eastAsia="宋体" w:cs="宋体"/>
          <w:color w:val="auto"/>
          <w:sz w:val="22"/>
          <w:szCs w:val="22"/>
          <w:highlight w:val="none"/>
          <w:lang w:eastAsia="zh-CN"/>
        </w:rPr>
        <w:t>（或非法人组织负责人）。</w:t>
      </w:r>
    </w:p>
    <w:p w14:paraId="6108BF4A">
      <w:pPr>
        <w:pStyle w:val="11"/>
        <w:spacing w:before="3" w:line="360" w:lineRule="auto"/>
        <w:rPr>
          <w:rFonts w:hint="eastAsia" w:ascii="宋体" w:hAnsi="宋体" w:eastAsia="宋体" w:cs="宋体"/>
          <w:color w:val="auto"/>
          <w:sz w:val="22"/>
          <w:szCs w:val="22"/>
          <w:highlight w:val="none"/>
          <w:lang w:eastAsia="zh-CN"/>
        </w:rPr>
      </w:pPr>
    </w:p>
    <w:p w14:paraId="5AFB7719">
      <w:pPr>
        <w:pStyle w:val="11"/>
        <w:spacing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特此证明。</w:t>
      </w:r>
    </w:p>
    <w:p w14:paraId="6A3867F3">
      <w:pPr>
        <w:pStyle w:val="11"/>
        <w:spacing w:line="360" w:lineRule="auto"/>
        <w:rPr>
          <w:rFonts w:hint="eastAsia" w:ascii="宋体" w:hAnsi="宋体" w:eastAsia="宋体" w:cs="宋体"/>
          <w:color w:val="auto"/>
          <w:sz w:val="22"/>
          <w:szCs w:val="22"/>
          <w:highlight w:val="none"/>
          <w:lang w:eastAsia="zh-CN"/>
        </w:rPr>
      </w:pPr>
    </w:p>
    <w:p w14:paraId="352E1DA3">
      <w:pPr>
        <w:pStyle w:val="11"/>
        <w:spacing w:before="8"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mc:AlternateContent>
          <mc:Choice Requires="wps">
            <w:drawing>
              <wp:anchor distT="0" distB="0" distL="114300" distR="114300" simplePos="0" relativeHeight="251666432" behindDoc="0" locked="0" layoutInCell="1" allowOverlap="1">
                <wp:simplePos x="0" y="0"/>
                <wp:positionH relativeFrom="page">
                  <wp:posOffset>1167130</wp:posOffset>
                </wp:positionH>
                <wp:positionV relativeFrom="paragraph">
                  <wp:posOffset>212090</wp:posOffset>
                </wp:positionV>
                <wp:extent cx="5224780" cy="1831340"/>
                <wp:effectExtent l="4445" t="4445" r="9525" b="12065"/>
                <wp:wrapTopAndBottom/>
                <wp:docPr id="3" name="文本框 5"/>
                <wp:cNvGraphicFramePr/>
                <a:graphic xmlns:a="http://schemas.openxmlformats.org/drawingml/2006/main">
                  <a:graphicData uri="http://schemas.microsoft.com/office/word/2010/wordprocessingShape">
                    <wps:wsp>
                      <wps:cNvSpPr txBox="1"/>
                      <wps:spPr>
                        <a:xfrm>
                          <a:off x="0" y="0"/>
                          <a:ext cx="5224780" cy="1831340"/>
                        </a:xfrm>
                        <a:prstGeom prst="rect">
                          <a:avLst/>
                        </a:prstGeom>
                        <a:noFill/>
                        <a:ln w="6096" cap="flat" cmpd="sng">
                          <a:solidFill>
                            <a:srgbClr val="000000"/>
                          </a:solidFill>
                          <a:prstDash val="solid"/>
                          <a:miter/>
                          <a:headEnd type="none" w="med" len="med"/>
                          <a:tailEnd type="none" w="med" len="med"/>
                        </a:ln>
                        <a:effectLst/>
                      </wps:spPr>
                      <wps:txbx>
                        <w:txbxContent>
                          <w:p w14:paraId="300FF448">
                            <w:pPr>
                              <w:pStyle w:val="11"/>
                              <w:spacing w:before="103"/>
                              <w:ind w:left="959"/>
                              <w:rPr>
                                <w:lang w:eastAsia="zh-CN"/>
                              </w:rPr>
                            </w:pPr>
                            <w:r>
                              <w:rPr>
                                <w:lang w:eastAsia="zh-CN"/>
                              </w:rPr>
                              <w:t>（※法定代表人（或非法人组织负责人）身份证正、反面扫描件※）</w:t>
                            </w:r>
                          </w:p>
                        </w:txbxContent>
                      </wps:txbx>
                      <wps:bodyPr lIns="0" tIns="0" rIns="0" bIns="0" upright="1"/>
                    </wps:wsp>
                  </a:graphicData>
                </a:graphic>
              </wp:anchor>
            </w:drawing>
          </mc:Choice>
          <mc:Fallback>
            <w:pict>
              <v:shape id="文本框 5" o:spid="_x0000_s1026" o:spt="202" type="#_x0000_t202" style="position:absolute;left:0pt;margin-left:91.9pt;margin-top:16.7pt;height:144.2pt;width:411.4pt;mso-position-horizontal-relative:page;mso-wrap-distance-bottom:0pt;mso-wrap-distance-top:0pt;z-index:251666432;mso-width-relative:page;mso-height-relative:page;" filled="f" stroked="t" coordsize="21600,21600" o:gfxdata="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XHHJHWAAAACwEA&#10;AA8AAAAAAAAAAQAgAAAAIgAAAGRycy9kb3ducmV2LnhtbFBLAQIUABQAAAAIAIdO4kA4f4ZpHAIA&#10;AEAEAAAOAAAAAAAAAAEAIAAAACUBAABkcnMvZTJvRG9jLnhtbFBLBQYAAAAABgAGAFkBAACzBQAA&#10;AAA=&#10;">
                <v:fill on="f" focussize="0,0"/>
                <v:stroke weight="0.48pt" color="#000000" joinstyle="miter"/>
                <v:imagedata o:title=""/>
                <o:lock v:ext="edit" aspectratio="f"/>
                <v:textbox inset="0mm,0mm,0mm,0mm">
                  <w:txbxContent>
                    <w:p w14:paraId="300FF448">
                      <w:pPr>
                        <w:pStyle w:val="11"/>
                        <w:spacing w:before="103"/>
                        <w:ind w:left="959"/>
                        <w:rPr>
                          <w:lang w:eastAsia="zh-CN"/>
                        </w:rPr>
                      </w:pPr>
                      <w:r>
                        <w:rPr>
                          <w:lang w:eastAsia="zh-CN"/>
                        </w:rPr>
                        <w:t>（※法定代表人（或非法人组织负责人）身份证正、反面扫描件※）</w:t>
                      </w:r>
                    </w:p>
                  </w:txbxContent>
                </v:textbox>
                <w10:wrap type="topAndBottom"/>
              </v:shape>
            </w:pict>
          </mc:Fallback>
        </mc:AlternateContent>
      </w:r>
    </w:p>
    <w:p w14:paraId="13F165AB">
      <w:pPr>
        <w:pStyle w:val="11"/>
        <w:spacing w:before="2" w:line="360" w:lineRule="auto"/>
        <w:rPr>
          <w:rFonts w:hint="eastAsia" w:ascii="宋体" w:hAnsi="宋体" w:eastAsia="宋体" w:cs="宋体"/>
          <w:color w:val="auto"/>
          <w:sz w:val="22"/>
          <w:szCs w:val="22"/>
          <w:highlight w:val="none"/>
          <w:lang w:eastAsia="zh-CN"/>
        </w:rPr>
      </w:pPr>
    </w:p>
    <w:p w14:paraId="2F35B5C4">
      <w:pPr>
        <w:pStyle w:val="11"/>
        <w:tabs>
          <w:tab w:val="left" w:pos="2816"/>
        </w:tabs>
        <w:spacing w:before="76" w:line="360" w:lineRule="auto"/>
        <w:ind w:left="402"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r>
        <w:rPr>
          <w:rFonts w:hint="eastAsia" w:ascii="宋体" w:hAnsi="宋体" w:eastAsia="宋体" w:cs="宋体"/>
          <w:color w:val="auto"/>
          <w:sz w:val="22"/>
          <w:szCs w:val="22"/>
          <w:highlight w:val="none"/>
          <w:u w:val="single"/>
          <w:lang w:eastAsia="zh-CN"/>
        </w:rPr>
        <w:tab/>
      </w:r>
      <w:r>
        <w:rPr>
          <w:rFonts w:hint="eastAsia" w:ascii="宋体" w:hAnsi="宋体" w:eastAsia="宋体" w:cs="宋体"/>
          <w:b w:val="0"/>
          <w:bCs w:val="0"/>
          <w:color w:val="auto"/>
          <w:spacing w:val="0"/>
          <w:kern w:val="2"/>
          <w:sz w:val="24"/>
          <w:szCs w:val="24"/>
          <w:lang w:val="en-US" w:eastAsia="zh-CN" w:bidi="ar-SA"/>
        </w:rPr>
        <w:t>（</w:t>
      </w:r>
      <w:r>
        <w:rPr>
          <w:rFonts w:hint="eastAsia" w:cs="宋体"/>
          <w:b w:val="0"/>
          <w:bCs w:val="0"/>
          <w:color w:val="auto"/>
          <w:spacing w:val="0"/>
          <w:kern w:val="2"/>
          <w:sz w:val="24"/>
          <w:szCs w:val="24"/>
          <w:lang w:val="en-US" w:eastAsia="zh-CN" w:bidi="ar-SA"/>
        </w:rPr>
        <w:t>盖单位公章</w:t>
      </w:r>
      <w:r>
        <w:rPr>
          <w:rFonts w:hint="eastAsia" w:ascii="宋体" w:hAnsi="宋体" w:eastAsia="宋体" w:cs="宋体"/>
          <w:b w:val="0"/>
          <w:bCs w:val="0"/>
          <w:color w:val="auto"/>
          <w:spacing w:val="0"/>
          <w:kern w:val="2"/>
          <w:sz w:val="24"/>
          <w:szCs w:val="24"/>
          <w:lang w:val="en-US" w:eastAsia="zh-CN" w:bidi="ar-SA"/>
        </w:rPr>
        <w:t>）</w:t>
      </w:r>
    </w:p>
    <w:p w14:paraId="7C6227EA">
      <w:pPr>
        <w:pStyle w:val="11"/>
        <w:spacing w:before="11" w:line="360" w:lineRule="auto"/>
        <w:rPr>
          <w:rFonts w:hint="eastAsia" w:ascii="宋体" w:hAnsi="宋体" w:eastAsia="宋体" w:cs="宋体"/>
          <w:color w:val="auto"/>
          <w:sz w:val="22"/>
          <w:szCs w:val="22"/>
          <w:highlight w:val="none"/>
          <w:lang w:eastAsia="zh-CN"/>
        </w:rPr>
      </w:pPr>
    </w:p>
    <w:p w14:paraId="5529DBD7">
      <w:pPr>
        <w:pStyle w:val="11"/>
        <w:tabs>
          <w:tab w:val="left" w:pos="1347"/>
          <w:tab w:val="left" w:pos="2187"/>
          <w:tab w:val="left" w:pos="2764"/>
        </w:tabs>
        <w:spacing w:before="69" w:line="360" w:lineRule="auto"/>
        <w:ind w:left="401"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ab/>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ab/>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日</w:t>
      </w:r>
    </w:p>
    <w:p w14:paraId="4BC5B65B">
      <w:pPr>
        <w:spacing w:line="360" w:lineRule="auto"/>
        <w:rPr>
          <w:rFonts w:hint="eastAsia" w:ascii="宋体" w:hAnsi="宋体" w:eastAsia="宋体" w:cs="宋体"/>
          <w:color w:val="auto"/>
          <w:sz w:val="22"/>
          <w:szCs w:val="22"/>
          <w:highlight w:val="none"/>
          <w:lang w:eastAsia="zh-CN"/>
        </w:rPr>
        <w:sectPr>
          <w:footerReference r:id="rId8" w:type="default"/>
          <w:pgSz w:w="11910" w:h="16840"/>
          <w:pgMar w:top="1440" w:right="1080" w:bottom="1440" w:left="1080" w:header="878" w:footer="1130" w:gutter="0"/>
          <w:pgNumType w:fmt="decimal"/>
          <w:cols w:space="720" w:num="1"/>
        </w:sectPr>
      </w:pPr>
    </w:p>
    <w:p w14:paraId="47B3E7A3">
      <w:pPr>
        <w:pStyle w:val="4"/>
        <w:spacing w:before="145" w:line="360" w:lineRule="auto"/>
        <w:jc w:val="center"/>
        <w:rPr>
          <w:rFonts w:hint="eastAsia" w:ascii="宋体" w:hAnsi="宋体" w:eastAsia="宋体" w:cs="宋体"/>
          <w:color w:val="auto"/>
          <w:highlight w:val="none"/>
          <w:lang w:eastAsia="zh-CN"/>
        </w:rPr>
      </w:pPr>
      <w:bookmarkStart w:id="157" w:name="四、竞争性磋商承诺函"/>
      <w:bookmarkEnd w:id="157"/>
      <w:bookmarkStart w:id="158" w:name="_Toc167"/>
      <w:bookmarkStart w:id="159" w:name="_Toc21901"/>
      <w:bookmarkStart w:id="160" w:name="_Toc31065"/>
      <w:r>
        <w:rPr>
          <w:rFonts w:hint="eastAsia" w:ascii="宋体" w:hAnsi="宋体" w:eastAsia="宋体" w:cs="宋体"/>
          <w:color w:val="auto"/>
          <w:highlight w:val="none"/>
          <w:lang w:eastAsia="zh-CN"/>
        </w:rPr>
        <w:t>（二）法定代表人（或非法人组织负责人）授权委托书</w:t>
      </w:r>
      <w:bookmarkEnd w:id="158"/>
      <w:bookmarkEnd w:id="159"/>
      <w:bookmarkEnd w:id="160"/>
    </w:p>
    <w:p w14:paraId="20AD9633">
      <w:pPr>
        <w:pStyle w:val="11"/>
        <w:tabs>
          <w:tab w:val="left" w:pos="1976"/>
          <w:tab w:val="left" w:pos="3870"/>
          <w:tab w:val="left" w:pos="8281"/>
        </w:tabs>
        <w:spacing w:before="190" w:line="360" w:lineRule="auto"/>
        <w:ind w:left="402" w:right="301"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本人</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（姓名）系</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（供应商名称）的法定代表人，现委托</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（姓名）为我方代理人。代理人根据授权，以我方名义签署、澄清、说明、补正、递交、撤回、修改</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（项目名称）响应文件、签订合同和处理一切与之有关的事宜，其法律后果由我方承担。</w:t>
      </w:r>
    </w:p>
    <w:p w14:paraId="1D57FE99">
      <w:pPr>
        <w:pStyle w:val="11"/>
        <w:tabs>
          <w:tab w:val="left" w:pos="3236"/>
        </w:tabs>
        <w:spacing w:line="360" w:lineRule="auto"/>
        <w:ind w:left="822" w:right="5658"/>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委托期限：</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w:t>
      </w:r>
    </w:p>
    <w:p w14:paraId="3CBF2D30">
      <w:pPr>
        <w:pStyle w:val="11"/>
        <w:tabs>
          <w:tab w:val="left" w:pos="3236"/>
        </w:tabs>
        <w:spacing w:line="360" w:lineRule="auto"/>
        <w:ind w:left="822" w:right="5658"/>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代理人无转委托权。</w:t>
      </w:r>
    </w:p>
    <w:p w14:paraId="6CD4E328">
      <w:pPr>
        <w:pStyle w:val="11"/>
        <w:tabs>
          <w:tab w:val="left" w:pos="2187"/>
          <w:tab w:val="left" w:pos="2713"/>
          <w:tab w:val="left" w:pos="3236"/>
        </w:tabs>
        <w:spacing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本授权书于</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日签字或盖章生效，</w:t>
      </w:r>
      <w:r>
        <w:rPr>
          <w:rFonts w:hint="eastAsia" w:ascii="宋体" w:hAnsi="宋体" w:eastAsia="宋体" w:cs="宋体"/>
          <w:b/>
          <w:color w:val="auto"/>
          <w:sz w:val="22"/>
          <w:szCs w:val="22"/>
          <w:highlight w:val="none"/>
          <w:lang w:eastAsia="zh-CN"/>
        </w:rPr>
        <w:t>无转委托，</w:t>
      </w:r>
      <w:r>
        <w:rPr>
          <w:rFonts w:hint="eastAsia" w:ascii="宋体" w:hAnsi="宋体" w:eastAsia="宋体" w:cs="宋体"/>
          <w:color w:val="auto"/>
          <w:sz w:val="22"/>
          <w:szCs w:val="22"/>
          <w:highlight w:val="none"/>
          <w:lang w:eastAsia="zh-CN"/>
        </w:rPr>
        <w:t>特此声明。</w:t>
      </w:r>
    </w:p>
    <w:p w14:paraId="2BED0806">
      <w:pPr>
        <w:pStyle w:val="11"/>
        <w:spacing w:before="7"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mc:AlternateContent>
          <mc:Choice Requires="wps">
            <w:drawing>
              <wp:anchor distT="0" distB="0" distL="114300" distR="114300" simplePos="0" relativeHeight="251667456" behindDoc="0" locked="0" layoutInCell="1" allowOverlap="1">
                <wp:simplePos x="0" y="0"/>
                <wp:positionH relativeFrom="page">
                  <wp:posOffset>1169035</wp:posOffset>
                </wp:positionH>
                <wp:positionV relativeFrom="paragraph">
                  <wp:posOffset>162560</wp:posOffset>
                </wp:positionV>
                <wp:extent cx="5224780" cy="1529715"/>
                <wp:effectExtent l="4445" t="4445" r="9525" b="8890"/>
                <wp:wrapTopAndBottom/>
                <wp:docPr id="4" name="文本框 6"/>
                <wp:cNvGraphicFramePr/>
                <a:graphic xmlns:a="http://schemas.openxmlformats.org/drawingml/2006/main">
                  <a:graphicData uri="http://schemas.microsoft.com/office/word/2010/wordprocessingShape">
                    <wps:wsp>
                      <wps:cNvSpPr txBox="1"/>
                      <wps:spPr>
                        <a:xfrm>
                          <a:off x="0" y="0"/>
                          <a:ext cx="5224780" cy="1529715"/>
                        </a:xfrm>
                        <a:prstGeom prst="rect">
                          <a:avLst/>
                        </a:prstGeom>
                        <a:noFill/>
                        <a:ln w="6096" cap="flat" cmpd="sng">
                          <a:solidFill>
                            <a:srgbClr val="000000"/>
                          </a:solidFill>
                          <a:prstDash val="solid"/>
                          <a:miter/>
                          <a:headEnd type="none" w="med" len="med"/>
                          <a:tailEnd type="none" w="med" len="med"/>
                        </a:ln>
                        <a:effectLst/>
                      </wps:spPr>
                      <wps:txbx>
                        <w:txbxContent>
                          <w:p w14:paraId="7E0D4174">
                            <w:pPr>
                              <w:pStyle w:val="11"/>
                              <w:spacing w:before="105"/>
                              <w:ind w:left="2324"/>
                              <w:rPr>
                                <w:lang w:eastAsia="zh-CN"/>
                              </w:rPr>
                            </w:pPr>
                            <w:r>
                              <w:rPr>
                                <w:lang w:eastAsia="zh-CN"/>
                              </w:rPr>
                              <w:t>（※受托人身份证正、反面扫描件※）</w:t>
                            </w:r>
                          </w:p>
                        </w:txbxContent>
                      </wps:txbx>
                      <wps:bodyPr lIns="0" tIns="0" rIns="0" bIns="0" upright="1"/>
                    </wps:wsp>
                  </a:graphicData>
                </a:graphic>
              </wp:anchor>
            </w:drawing>
          </mc:Choice>
          <mc:Fallback>
            <w:pict>
              <v:shape id="文本框 6" o:spid="_x0000_s1026" o:spt="202" type="#_x0000_t202" style="position:absolute;left:0pt;margin-left:92.05pt;margin-top:12.8pt;height:120.45pt;width:411.4pt;mso-position-horizontal-relative:page;mso-wrap-distance-bottom:0pt;mso-wrap-distance-top:0pt;z-index:251667456;mso-width-relative:page;mso-height-relative:page;" filled="f" stroked="t" coordsize="21600,21600" o:gfxdata="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x6q1gAAAAsBAAAP&#10;AAAAAAAAAAEAIAAAACIAAABkcnMvZG93bnJldi54bWxQSwECFAAUAAAACACHTuJAmnf7LBoCAABA&#10;BAAADgAAAAAAAAABACAAAAAlAQAAZHJzL2Uyb0RvYy54bWxQSwUGAAAAAAYABgBZAQAAsQUAAAAA&#10;">
                <v:fill on="f" focussize="0,0"/>
                <v:stroke weight="0.48pt" color="#000000" joinstyle="miter"/>
                <v:imagedata o:title=""/>
                <o:lock v:ext="edit" aspectratio="f"/>
                <v:textbox inset="0mm,0mm,0mm,0mm">
                  <w:txbxContent>
                    <w:p w14:paraId="7E0D4174">
                      <w:pPr>
                        <w:pStyle w:val="11"/>
                        <w:spacing w:before="105"/>
                        <w:ind w:left="2324"/>
                        <w:rPr>
                          <w:lang w:eastAsia="zh-CN"/>
                        </w:rPr>
                      </w:pPr>
                      <w:r>
                        <w:rPr>
                          <w:lang w:eastAsia="zh-CN"/>
                        </w:rPr>
                        <w:t>（※受托人身份证正、反面扫描件※）</w:t>
                      </w:r>
                    </w:p>
                  </w:txbxContent>
                </v:textbox>
                <w10:wrap type="topAndBottom"/>
              </v:shape>
            </w:pict>
          </mc:Fallback>
        </mc:AlternateContent>
      </w:r>
    </w:p>
    <w:p w14:paraId="77E715E8">
      <w:pPr>
        <w:pStyle w:val="11"/>
        <w:tabs>
          <w:tab w:val="left" w:pos="5336"/>
        </w:tabs>
        <w:spacing w:before="188"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w:t>
      </w:r>
      <w:r>
        <w:rPr>
          <w:rFonts w:hint="eastAsia" w:cs="宋体"/>
          <w:color w:val="auto"/>
          <w:sz w:val="22"/>
          <w:szCs w:val="22"/>
          <w:highlight w:val="none"/>
          <w:lang w:val="en-US" w:eastAsia="zh-CN"/>
        </w:rPr>
        <w:t>盖单位公章</w:t>
      </w:r>
      <w:r>
        <w:rPr>
          <w:rFonts w:hint="eastAsia" w:ascii="宋体" w:hAnsi="宋体" w:eastAsia="宋体" w:cs="宋体"/>
          <w:color w:val="auto"/>
          <w:sz w:val="22"/>
          <w:szCs w:val="22"/>
          <w:highlight w:val="none"/>
          <w:lang w:eastAsia="zh-CN"/>
        </w:rPr>
        <w:t>）</w:t>
      </w:r>
    </w:p>
    <w:p w14:paraId="20E25B5C">
      <w:pPr>
        <w:pStyle w:val="11"/>
        <w:tabs>
          <w:tab w:val="left" w:pos="5336"/>
        </w:tabs>
        <w:spacing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w:t>
      </w:r>
      <w:r>
        <w:rPr>
          <w:rFonts w:hint="eastAsia" w:cs="宋体"/>
          <w:color w:val="auto"/>
          <w:sz w:val="22"/>
          <w:szCs w:val="22"/>
          <w:highlight w:val="none"/>
          <w:lang w:val="en-US" w:eastAsia="zh-CN"/>
        </w:rPr>
        <w:t>签字或盖章</w:t>
      </w:r>
      <w:r>
        <w:rPr>
          <w:rFonts w:hint="eastAsia" w:ascii="宋体" w:hAnsi="宋体" w:eastAsia="宋体" w:cs="宋体"/>
          <w:color w:val="auto"/>
          <w:sz w:val="22"/>
          <w:szCs w:val="22"/>
          <w:highlight w:val="none"/>
          <w:lang w:eastAsia="zh-CN"/>
        </w:rPr>
        <w:t>）</w:t>
      </w:r>
    </w:p>
    <w:p w14:paraId="4A4BF8BF">
      <w:pPr>
        <w:pStyle w:val="11"/>
        <w:tabs>
          <w:tab w:val="left" w:pos="5336"/>
        </w:tabs>
        <w:spacing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身份证号码：</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ab/>
      </w:r>
    </w:p>
    <w:p w14:paraId="1C50B4C8">
      <w:pPr>
        <w:pStyle w:val="11"/>
        <w:tabs>
          <w:tab w:val="left" w:pos="5280"/>
        </w:tabs>
        <w:spacing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委托代理人：</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（签字）</w:t>
      </w:r>
    </w:p>
    <w:p w14:paraId="2E476BD8">
      <w:pPr>
        <w:pStyle w:val="11"/>
        <w:tabs>
          <w:tab w:val="left" w:pos="3919"/>
        </w:tabs>
        <w:spacing w:line="360" w:lineRule="auto"/>
        <w:ind w:left="822"/>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身份证号码：</w:t>
      </w:r>
      <w:r>
        <w:rPr>
          <w:rFonts w:hint="eastAsia" w:ascii="宋体" w:hAnsi="宋体" w:eastAsia="宋体" w:cs="宋体"/>
          <w:color w:val="auto"/>
          <w:sz w:val="22"/>
          <w:szCs w:val="22"/>
          <w:highlight w:val="none"/>
          <w:u w:val="single"/>
          <w:lang w:eastAsia="zh-CN"/>
        </w:rPr>
        <w:tab/>
      </w:r>
      <w:r>
        <w:rPr>
          <w:rFonts w:hint="eastAsia" w:cs="宋体"/>
          <w:color w:val="auto"/>
          <w:sz w:val="22"/>
          <w:szCs w:val="22"/>
          <w:highlight w:val="none"/>
          <w:u w:val="single"/>
          <w:lang w:val="en-US" w:eastAsia="zh-CN"/>
        </w:rPr>
        <w:t xml:space="preserve">             </w:t>
      </w:r>
    </w:p>
    <w:p w14:paraId="72D394D1">
      <w:pPr>
        <w:pStyle w:val="11"/>
        <w:tabs>
          <w:tab w:val="left" w:pos="1504"/>
          <w:tab w:val="left" w:pos="2622"/>
          <w:tab w:val="left" w:pos="3567"/>
        </w:tabs>
        <w:spacing w:before="69" w:line="360" w:lineRule="auto"/>
        <w:ind w:left="613" w:firstLine="220" w:firstLineChars="1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ab/>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日</w:t>
      </w:r>
    </w:p>
    <w:p w14:paraId="2A342F5E">
      <w:pPr>
        <w:spacing w:line="360" w:lineRule="auto"/>
        <w:rPr>
          <w:rFonts w:hint="eastAsia" w:ascii="宋体" w:hAnsi="宋体" w:eastAsia="宋体" w:cs="宋体"/>
          <w:color w:val="auto"/>
          <w:sz w:val="22"/>
          <w:szCs w:val="22"/>
          <w:highlight w:val="none"/>
          <w:lang w:eastAsia="zh-CN"/>
        </w:rPr>
        <w:sectPr>
          <w:pgSz w:w="11910" w:h="16840"/>
          <w:pgMar w:top="1440" w:right="1080" w:bottom="1440" w:left="1080" w:header="878" w:footer="1130" w:gutter="0"/>
          <w:pgNumType w:fmt="decimal"/>
          <w:cols w:space="720" w:num="1"/>
        </w:sectPr>
      </w:pPr>
    </w:p>
    <w:p w14:paraId="2DB959FE">
      <w:pPr>
        <w:spacing w:before="203" w:line="360" w:lineRule="auto"/>
        <w:ind w:left="1" w:right="1"/>
        <w:jc w:val="center"/>
        <w:outlineLvl w:val="1"/>
        <w:rPr>
          <w:rFonts w:hint="eastAsia" w:ascii="宋体" w:hAnsi="宋体" w:eastAsia="宋体" w:cs="宋体"/>
          <w:b/>
          <w:color w:val="auto"/>
          <w:sz w:val="28"/>
          <w:szCs w:val="28"/>
          <w:highlight w:val="none"/>
          <w:lang w:eastAsia="zh-CN"/>
        </w:rPr>
      </w:pPr>
      <w:bookmarkStart w:id="161" w:name="_Toc24217"/>
      <w:bookmarkStart w:id="162" w:name="_Toc1826"/>
      <w:bookmarkStart w:id="163" w:name="_Toc26375"/>
      <w:r>
        <w:rPr>
          <w:rFonts w:hint="eastAsia" w:cs="宋体"/>
          <w:b/>
          <w:color w:val="auto"/>
          <w:sz w:val="28"/>
          <w:szCs w:val="28"/>
          <w:highlight w:val="none"/>
          <w:lang w:val="en-US" w:eastAsia="zh-CN"/>
        </w:rPr>
        <w:t>三</w:t>
      </w:r>
      <w:r>
        <w:rPr>
          <w:rFonts w:hint="eastAsia" w:ascii="宋体" w:hAnsi="宋体" w:eastAsia="宋体" w:cs="宋体"/>
          <w:b/>
          <w:color w:val="auto"/>
          <w:sz w:val="28"/>
          <w:szCs w:val="28"/>
          <w:highlight w:val="none"/>
          <w:lang w:eastAsia="zh-CN"/>
        </w:rPr>
        <w:t>、竞争性磋商承诺函</w:t>
      </w:r>
      <w:bookmarkEnd w:id="161"/>
      <w:bookmarkEnd w:id="162"/>
      <w:bookmarkEnd w:id="163"/>
    </w:p>
    <w:p w14:paraId="68310AC1">
      <w:pPr>
        <w:pStyle w:val="11"/>
        <w:spacing w:before="156" w:line="360" w:lineRule="auto"/>
        <w:ind w:left="822"/>
        <w:rPr>
          <w:rFonts w:hint="eastAsia" w:ascii="宋体" w:hAnsi="宋体" w:eastAsia="宋体" w:cs="宋体"/>
          <w:color w:val="auto"/>
          <w:highlight w:val="none"/>
          <w:lang w:eastAsia="zh-CN"/>
        </w:rPr>
      </w:pPr>
      <w:bookmarkStart w:id="164" w:name="（一）磋商承诺函"/>
      <w:bookmarkEnd w:id="164"/>
    </w:p>
    <w:p w14:paraId="61DFDCC1">
      <w:pPr>
        <w:pStyle w:val="11"/>
        <w:spacing w:before="156"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致：</w:t>
      </w:r>
      <w:r>
        <w:rPr>
          <w:rFonts w:hint="eastAsia" w:ascii="宋体" w:hAnsi="宋体" w:eastAsia="宋体" w:cs="宋体"/>
          <w:color w:val="auto"/>
          <w:sz w:val="22"/>
          <w:szCs w:val="22"/>
          <w:highlight w:val="none"/>
          <w:u w:val="single"/>
          <w:lang w:eastAsia="zh-CN"/>
        </w:rPr>
        <w:t>（采购人及采购代理机构）</w:t>
      </w:r>
    </w:p>
    <w:p w14:paraId="7914DFBA">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我单位在此郑重承诺：</w:t>
      </w:r>
    </w:p>
    <w:p w14:paraId="301F7281">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一、具备《中华人民共和国政府采购法》第二十二条第一款和本项目规定的条件：</w:t>
      </w:r>
    </w:p>
    <w:p w14:paraId="5505FC14">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（一）具有独立承担民事责任的能力；</w:t>
      </w:r>
    </w:p>
    <w:p w14:paraId="30471F73">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（二）具有良好的商业信誉和健全的财务会计制度；</w:t>
      </w:r>
    </w:p>
    <w:p w14:paraId="3C6A6D56">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（三）具有履行合同所必需的设备和专业技术能力；</w:t>
      </w:r>
    </w:p>
    <w:p w14:paraId="016C8B22">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（四）有依法缴纳税收和社会保障资金的良好记录；</w:t>
      </w:r>
    </w:p>
    <w:p w14:paraId="4E30A220">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（五）参加政府采购活动前三年内，在经营活动中没有重大违法记录；</w:t>
      </w:r>
    </w:p>
    <w:p w14:paraId="6673890D">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（六）法律、行政法规规定的其他条件；</w:t>
      </w:r>
    </w:p>
    <w:p w14:paraId="00E64393">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（七）根据采购项目提出的特殊条件。</w:t>
      </w:r>
    </w:p>
    <w:p w14:paraId="2DC8C416">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w:t>
      </w:r>
    </w:p>
    <w:p w14:paraId="7DF5175D">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三、参加本次采购活动，不存在与单位负责人为同一人或者存在直接控股、管理关系的其他供应商参与同一合同项下的政府采购活动的行为。</w:t>
      </w:r>
    </w:p>
    <w:p w14:paraId="51522843">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四、参加本次采购活动，不存在为采购项目提供整体设计、规范编制或者项目管理、监理、检测等服务的行为。</w:t>
      </w:r>
    </w:p>
    <w:p w14:paraId="081BDCCB">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五、参加本次采购活动，不存在和其他供应商在同一合同项下的采购项目中，同时委托同一个自然人、同一家庭的人员、同一单位的人员作为代理人的行为。</w:t>
      </w:r>
    </w:p>
    <w:p w14:paraId="22A0CD0F">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六、供应商参加本次政府采购活动要求在近三年内供应商和其法定代表人没有行贿犯罪行为。</w:t>
      </w:r>
    </w:p>
    <w:p w14:paraId="5E1AADBF">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七、参加本次采购活动，不存在联合体磋商。</w:t>
      </w:r>
    </w:p>
    <w:p w14:paraId="26D87992">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八、响应文件中提供的能够给予我公司带来优惠、好处的任何材料资料和技术、服务、综合等响应承诺情况都是真实的、有效的、合法的。</w:t>
      </w:r>
    </w:p>
    <w:p w14:paraId="7EF73033">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九、存在以下行为之一的愿意接受相关部门的处理：</w:t>
      </w:r>
    </w:p>
    <w:p w14:paraId="6938AF21">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（一）磋商有效期内撤销响应文件的；</w:t>
      </w:r>
    </w:p>
    <w:p w14:paraId="201FABC2">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（二）在采购人确定成交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以前放弃成交候选资格的；</w:t>
      </w:r>
    </w:p>
    <w:p w14:paraId="5605B28C">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（三）由于成交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的原因未能按照磋商文件的规定与采购人签订合同；</w:t>
      </w:r>
    </w:p>
    <w:p w14:paraId="40860FE0">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（四）由于成交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的原因未能按照磋商文件的规定交纳履约保证金（如有）；</w:t>
      </w:r>
    </w:p>
    <w:p w14:paraId="7591BD0C">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（五）在响应文件中提供虚假材料谋取成交；</w:t>
      </w:r>
    </w:p>
    <w:p w14:paraId="11334D4C">
      <w:pPr>
        <w:pStyle w:val="11"/>
        <w:spacing w:before="139" w:line="360" w:lineRule="auto"/>
        <w:ind w:left="822"/>
        <w:rPr>
          <w:rFonts w:hint="eastAsia" w:ascii="宋体" w:hAnsi="宋体" w:eastAsia="宋体" w:cs="宋体"/>
          <w:color w:val="auto"/>
          <w:sz w:val="22"/>
          <w:szCs w:val="22"/>
          <w:highlight w:val="none"/>
          <w:lang w:eastAsia="zh-CN"/>
        </w:rPr>
      </w:pPr>
      <w:bookmarkStart w:id="165" w:name="（二）采购代理服务费承诺函"/>
      <w:bookmarkEnd w:id="165"/>
      <w:r>
        <w:rPr>
          <w:rFonts w:hint="eastAsia" w:ascii="宋体" w:hAnsi="宋体" w:eastAsia="宋体" w:cs="宋体"/>
          <w:color w:val="auto"/>
          <w:sz w:val="22"/>
          <w:szCs w:val="22"/>
          <w:highlight w:val="none"/>
          <w:lang w:eastAsia="zh-CN"/>
        </w:rPr>
        <w:t>（六）与采购人、其他供应商或者采购代理机构恶意串通的；</w:t>
      </w:r>
    </w:p>
    <w:p w14:paraId="1AA1204C">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（七）磋商有效期内，供应商在政府采购活动中有违法、违规、违纪行为。</w:t>
      </w:r>
    </w:p>
    <w:p w14:paraId="0302B99E">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由此产生的一切法律后果和责任由我公司承担。我公司声明放弃对此提出任何异议和追索的权利。</w:t>
      </w:r>
    </w:p>
    <w:p w14:paraId="38B26E9E">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本公司对上述承诺的内</w:t>
      </w:r>
      <w:r>
        <w:rPr>
          <w:rFonts w:hint="eastAsia" w:cs="宋体"/>
          <w:color w:val="auto"/>
          <w:sz w:val="22"/>
          <w:szCs w:val="22"/>
          <w:highlight w:val="none"/>
          <w:lang w:eastAsia="zh-CN"/>
        </w:rPr>
        <w:t>容和</w:t>
      </w:r>
      <w:r>
        <w:rPr>
          <w:rFonts w:hint="eastAsia" w:ascii="宋体" w:hAnsi="宋体" w:eastAsia="宋体" w:cs="宋体"/>
          <w:color w:val="auto"/>
          <w:sz w:val="22"/>
          <w:szCs w:val="22"/>
          <w:highlight w:val="none"/>
          <w:lang w:eastAsia="zh-CN"/>
        </w:rPr>
        <w:t>事项真实性负责。如经查实上述承诺的内容事项存在虚假，我公司愿意接受以提供虚假材料谋取中标追究法律责任。</w:t>
      </w:r>
    </w:p>
    <w:p w14:paraId="6A87A692">
      <w:pPr>
        <w:pStyle w:val="11"/>
        <w:spacing w:line="360" w:lineRule="auto"/>
        <w:rPr>
          <w:rFonts w:hint="eastAsia" w:ascii="宋体" w:hAnsi="宋体" w:eastAsia="宋体" w:cs="宋体"/>
          <w:color w:val="auto"/>
          <w:sz w:val="20"/>
          <w:highlight w:val="none"/>
          <w:lang w:eastAsia="zh-CN"/>
        </w:rPr>
      </w:pPr>
    </w:p>
    <w:p w14:paraId="4C693103">
      <w:pPr>
        <w:pStyle w:val="11"/>
        <w:spacing w:line="360" w:lineRule="auto"/>
        <w:rPr>
          <w:rFonts w:hint="eastAsia" w:ascii="宋体" w:hAnsi="宋体" w:eastAsia="宋体" w:cs="宋体"/>
          <w:color w:val="auto"/>
          <w:sz w:val="20"/>
          <w:highlight w:val="none"/>
          <w:lang w:eastAsia="zh-CN"/>
        </w:rPr>
      </w:pPr>
    </w:p>
    <w:p w14:paraId="2D48668C">
      <w:pPr>
        <w:pStyle w:val="11"/>
        <w:tabs>
          <w:tab w:val="left" w:pos="5432"/>
        </w:tabs>
        <w:spacing w:before="151" w:line="360" w:lineRule="auto"/>
        <w:ind w:left="822" w:right="219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（盖单位公章）</w:t>
      </w:r>
    </w:p>
    <w:p w14:paraId="31C4B352">
      <w:pPr>
        <w:pStyle w:val="11"/>
        <w:tabs>
          <w:tab w:val="left" w:pos="5432"/>
        </w:tabs>
        <w:spacing w:before="151" w:line="360" w:lineRule="auto"/>
        <w:ind w:left="822" w:right="219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法定代表人或</w:t>
      </w:r>
      <w:r>
        <w:rPr>
          <w:rFonts w:hint="eastAsia" w:ascii="宋体" w:hAnsi="宋体" w:eastAsia="宋体" w:cs="宋体"/>
          <w:color w:val="auto"/>
          <w:spacing w:val="15"/>
          <w:sz w:val="22"/>
          <w:szCs w:val="22"/>
          <w:highlight w:val="none"/>
          <w:lang w:eastAsia="zh-CN"/>
        </w:rPr>
        <w:t>其委托</w:t>
      </w:r>
      <w:r>
        <w:rPr>
          <w:rFonts w:hint="eastAsia" w:ascii="宋体" w:hAnsi="宋体" w:eastAsia="宋体" w:cs="宋体"/>
          <w:color w:val="auto"/>
          <w:spacing w:val="17"/>
          <w:sz w:val="22"/>
          <w:szCs w:val="22"/>
          <w:highlight w:val="none"/>
          <w:lang w:eastAsia="zh-CN"/>
        </w:rPr>
        <w:t>代</w:t>
      </w:r>
      <w:r>
        <w:rPr>
          <w:rFonts w:hint="eastAsia" w:ascii="宋体" w:hAnsi="宋体" w:eastAsia="宋体" w:cs="宋体"/>
          <w:color w:val="auto"/>
          <w:spacing w:val="15"/>
          <w:sz w:val="22"/>
          <w:szCs w:val="22"/>
          <w:highlight w:val="none"/>
          <w:lang w:eastAsia="zh-CN"/>
        </w:rPr>
        <w:t>理人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（签字或盖章）</w:t>
      </w:r>
    </w:p>
    <w:p w14:paraId="1E9EC7CF">
      <w:pPr>
        <w:pStyle w:val="11"/>
        <w:tabs>
          <w:tab w:val="left" w:pos="3171"/>
          <w:tab w:val="left" w:pos="4168"/>
          <w:tab w:val="left" w:pos="5377"/>
        </w:tabs>
        <w:spacing w:line="360" w:lineRule="auto"/>
        <w:ind w:left="21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日</w:t>
      </w:r>
    </w:p>
    <w:p w14:paraId="279F23D7">
      <w:pPr>
        <w:spacing w:line="360" w:lineRule="auto"/>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p>
    <w:p w14:paraId="48E988EA">
      <w:pPr>
        <w:pStyle w:val="3"/>
        <w:spacing w:before="67" w:line="360" w:lineRule="auto"/>
        <w:ind w:left="8" w:right="1"/>
        <w:jc w:val="center"/>
        <w:outlineLvl w:val="1"/>
        <w:rPr>
          <w:rFonts w:hint="default" w:ascii="宋体" w:hAnsi="宋体" w:eastAsia="宋体" w:cs="宋体"/>
          <w:b/>
          <w:bCs/>
          <w:color w:val="auto"/>
          <w:highlight w:val="none"/>
          <w:lang w:val="en-US" w:eastAsia="zh-CN"/>
        </w:rPr>
      </w:pPr>
      <w:bookmarkStart w:id="166" w:name="五、供应商基本情况表"/>
      <w:bookmarkEnd w:id="166"/>
      <w:bookmarkStart w:id="167" w:name="六、企业业绩信息"/>
      <w:bookmarkEnd w:id="167"/>
      <w:bookmarkStart w:id="168" w:name="_Toc23132"/>
      <w:bookmarkStart w:id="169" w:name="_Toc32490"/>
      <w:bookmarkStart w:id="170" w:name="_Toc27200"/>
      <w:r>
        <w:rPr>
          <w:rFonts w:hint="eastAsia" w:cs="宋体"/>
          <w:b/>
          <w:bCs/>
          <w:color w:val="auto"/>
          <w:highlight w:val="none"/>
          <w:lang w:val="en-US" w:eastAsia="zh-CN"/>
        </w:rPr>
        <w:t>四</w:t>
      </w:r>
      <w:r>
        <w:rPr>
          <w:rFonts w:hint="eastAsia" w:ascii="宋体" w:hAnsi="宋体" w:eastAsia="宋体" w:cs="宋体"/>
          <w:b/>
          <w:bCs/>
          <w:color w:val="auto"/>
          <w:highlight w:val="none"/>
          <w:lang w:eastAsia="zh-CN"/>
        </w:rPr>
        <w:t>、</w:t>
      </w:r>
      <w:bookmarkEnd w:id="168"/>
      <w:bookmarkEnd w:id="169"/>
      <w:bookmarkEnd w:id="170"/>
      <w:r>
        <w:rPr>
          <w:rFonts w:hint="eastAsia" w:cs="宋体"/>
          <w:b/>
          <w:bCs/>
          <w:color w:val="auto"/>
          <w:highlight w:val="none"/>
          <w:lang w:val="en-US" w:eastAsia="zh-CN"/>
        </w:rPr>
        <w:t>供应商资格证明文件</w:t>
      </w:r>
    </w:p>
    <w:p w14:paraId="1489080E">
      <w:pPr>
        <w:pStyle w:val="57"/>
        <w:spacing w:line="360" w:lineRule="auto"/>
        <w:ind w:left="110" w:leftChars="50"/>
        <w:rPr>
          <w:rFonts w:hint="eastAsia" w:ascii="宋体" w:hAnsi="宋体" w:eastAsia="宋体" w:cs="宋体"/>
          <w:color w:val="auto"/>
          <w:sz w:val="22"/>
          <w:szCs w:val="22"/>
          <w:highlight w:val="none"/>
          <w:lang w:eastAsia="zh-CN"/>
        </w:rPr>
      </w:pPr>
    </w:p>
    <w:p w14:paraId="7E810509">
      <w:pPr>
        <w:pStyle w:val="57"/>
        <w:spacing w:line="360" w:lineRule="auto"/>
        <w:ind w:left="110" w:leftChars="5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w:t>
      </w:r>
      <w:r>
        <w:rPr>
          <w:rFonts w:hint="eastAsia" w:cs="宋体"/>
          <w:b/>
          <w:bCs/>
          <w:color w:val="auto"/>
          <w:sz w:val="22"/>
          <w:szCs w:val="22"/>
          <w:highlight w:val="none"/>
          <w:lang w:eastAsia="zh-CN"/>
        </w:rPr>
        <w:t>.</w:t>
      </w:r>
      <w:r>
        <w:rPr>
          <w:rFonts w:hint="eastAsia" w:ascii="宋体" w:hAnsi="宋体" w:eastAsia="宋体" w:cs="宋体"/>
          <w:b/>
          <w:bCs/>
          <w:color w:val="auto"/>
          <w:sz w:val="22"/>
          <w:szCs w:val="22"/>
          <w:highlight w:val="none"/>
          <w:lang w:eastAsia="zh-CN"/>
        </w:rPr>
        <w:t>满足《中华人民共和国政府采购法》第二十二条规定；</w:t>
      </w:r>
    </w:p>
    <w:p w14:paraId="54FACA08">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（1）具有独立承担民事责任的能力；具有有效的营业执照或其他证明材料。</w:t>
      </w:r>
    </w:p>
    <w:p w14:paraId="32795B49">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（2）具有良好的商业信誉和健全的财务会计制度；提供202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年度财务审计报告，若企业成立不足一年，提供本开户行银行出具的资信证明。</w:t>
      </w:r>
    </w:p>
    <w:p w14:paraId="16C136FC">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（3）具有履行合同所必需的设备和专业技术能力；提供可充分满足履行合同所需设备和专业技术能力的证明材料或承诺书。</w:t>
      </w:r>
    </w:p>
    <w:p w14:paraId="12CBBB23">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）有依法缴纳税收和社会保障资金的良好记录；提供202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月1日以来任意1个月缴纳税收凭据和</w:t>
      </w:r>
      <w:r>
        <w:rPr>
          <w:rFonts w:hint="eastAsia" w:ascii="宋体" w:hAnsi="宋体" w:eastAsia="宋体" w:cs="宋体"/>
          <w:color w:val="auto"/>
          <w:sz w:val="22"/>
          <w:szCs w:val="22"/>
          <w:highlight w:val="none"/>
          <w:lang w:val="zh-CN" w:eastAsia="zh-CN"/>
        </w:rPr>
        <w:t>缴纳社会保险的专用收据或社会保险缴费清单（</w:t>
      </w:r>
      <w:r>
        <w:rPr>
          <w:rFonts w:hint="eastAsia" w:ascii="宋体" w:hAnsi="宋体" w:eastAsia="宋体" w:cs="宋体"/>
          <w:color w:val="auto"/>
          <w:sz w:val="22"/>
          <w:szCs w:val="22"/>
          <w:highlight w:val="none"/>
          <w:lang w:eastAsia="zh-CN"/>
        </w:rPr>
        <w:t>依法免税或不需要缴纳社会保障资金的供应商，应提供相应文件证明其依法免税或不需要缴纳社会保障资金。）</w:t>
      </w:r>
    </w:p>
    <w:p w14:paraId="31C3638A">
      <w:pPr>
        <w:pStyle w:val="57"/>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）参加采购活动前三年内，在经营活动中没有重大违法记录；提供有效的参加采购活动前3年内在经营活动中没有重大违法记录的书面声明。</w:t>
      </w:r>
    </w:p>
    <w:p w14:paraId="18306CDD">
      <w:pPr>
        <w:pStyle w:val="57"/>
        <w:spacing w:line="360" w:lineRule="auto"/>
        <w:ind w:left="110" w:leftChars="5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lang w:eastAsia="zh-CN"/>
        </w:rPr>
        <w:t>.本项目的特定资格要求：</w:t>
      </w:r>
    </w:p>
    <w:p w14:paraId="3B37D8FC">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（1）资质要求：供应商须具有建设行政主管部门颁发的房屋建筑工程监理丙级（含）以上资质或工程监理综合资质；</w:t>
      </w:r>
    </w:p>
    <w:p w14:paraId="51D9DB6C">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default" w:ascii="宋体" w:hAnsi="宋体" w:eastAsia="宋体" w:cs="宋体"/>
          <w:color w:val="auto"/>
          <w:kern w:val="0"/>
          <w:sz w:val="22"/>
          <w:szCs w:val="22"/>
          <w:lang w:val="en-US" w:eastAsia="zh-CN"/>
        </w:rPr>
      </w:pPr>
      <w:r>
        <w:rPr>
          <w:rFonts w:hint="default" w:ascii="宋体" w:hAnsi="宋体" w:eastAsia="宋体" w:cs="宋体"/>
          <w:color w:val="auto"/>
          <w:kern w:val="0"/>
          <w:sz w:val="22"/>
          <w:szCs w:val="22"/>
          <w:lang w:val="en-US" w:eastAsia="zh-CN"/>
        </w:rPr>
        <w:t>（2）拟派总监理工程师须本单位注册的房屋建筑工程专业国家注册监理工程师，持有合法有效的注册证书，提供劳动合同及2024年1月份（含）以来任意一个月的社会保险缴纳证明材料；</w:t>
      </w:r>
    </w:p>
    <w:p w14:paraId="18509FEC">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zh-CN" w:eastAsia="zh-CN"/>
        </w:rPr>
        <w:t>（</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lang w:val="zh-CN" w:eastAsia="zh-CN"/>
        </w:rPr>
        <w:t>）</w:t>
      </w:r>
      <w:r>
        <w:rPr>
          <w:rFonts w:hint="eastAsia" w:ascii="宋体" w:hAnsi="宋体" w:eastAsia="宋体" w:cs="宋体"/>
          <w:color w:val="auto"/>
          <w:kern w:val="0"/>
          <w:sz w:val="22"/>
          <w:szCs w:val="22"/>
          <w:lang w:val="en" w:eastAsia="zh-CN"/>
        </w:rPr>
        <w:t>根据《关于在政府采购活动中查询及使用信用记录有关问题的通知》(财库[2016]125号)的规定，对列入失信被执行人（查询渠道：中国执行信息公开网）、重大税收违法失信主体（查询渠道：信用中国）、政府采购严重违法失信行为记录名单（查询渠道：中国政府采购网）拒绝参与本项目政府采购活动，（注：代理机构在开标结束后对所有供应商信用记录进行查询，记录以代理机构开标登录网站查询结果为准，并将查询结果截图打印存档，若查询到供应商有相关负面信息的，则该供应商为无效供应商）；</w:t>
      </w:r>
    </w:p>
    <w:p w14:paraId="025FC787">
      <w:pPr>
        <w:pStyle w:val="57"/>
        <w:spacing w:line="360" w:lineRule="auto"/>
        <w:ind w:left="110" w:leftChars="5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 w:eastAsia="zh-CN"/>
        </w:rPr>
        <w:t>（</w:t>
      </w: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lang w:val="en" w:eastAsia="zh-CN"/>
        </w:rPr>
        <w:t>）</w:t>
      </w:r>
      <w:r>
        <w:rPr>
          <w:rFonts w:hint="eastAsia" w:ascii="宋体" w:hAnsi="宋体" w:eastAsia="宋体" w:cs="宋体"/>
          <w:color w:val="auto"/>
          <w:kern w:val="0"/>
          <w:sz w:val="22"/>
          <w:szCs w:val="22"/>
          <w:lang w:val="en-US" w:eastAsia="zh-CN"/>
        </w:rPr>
        <w:t>单位负责人为同一人或者存在直接控股、管理关系的不同供应商，不得参加同一合同项下的政府采购活动。提供在“国家企业信用信息公示系统”中查询的相关材料（需包含公司基础信息、股东信息及股权变更信息）或承诺书。</w:t>
      </w:r>
    </w:p>
    <w:p w14:paraId="670380ED">
      <w:pPr>
        <w:pStyle w:val="57"/>
        <w:spacing w:line="360" w:lineRule="auto"/>
        <w:ind w:left="110" w:leftChars="50"/>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r>
        <w:rPr>
          <w:rFonts w:hint="eastAsia" w:ascii="宋体" w:hAnsi="宋体" w:eastAsia="宋体" w:cs="宋体"/>
          <w:b/>
          <w:bCs/>
          <w:color w:val="auto"/>
          <w:sz w:val="22"/>
          <w:szCs w:val="22"/>
          <w:highlight w:val="none"/>
          <w:lang w:val="en-US" w:eastAsia="zh-CN" w:bidi="ar-SA"/>
        </w:rPr>
        <w:t>3</w:t>
      </w:r>
      <w:r>
        <w:rPr>
          <w:rFonts w:hint="eastAsia" w:cs="宋体"/>
          <w:b/>
          <w:bCs/>
          <w:color w:val="auto"/>
          <w:sz w:val="22"/>
          <w:szCs w:val="22"/>
          <w:highlight w:val="none"/>
          <w:lang w:val="en-US" w:eastAsia="zh-CN" w:bidi="ar-SA"/>
        </w:rPr>
        <w:t>.</w:t>
      </w:r>
      <w:r>
        <w:rPr>
          <w:rFonts w:hint="eastAsia" w:ascii="宋体" w:hAnsi="宋体" w:eastAsia="宋体" w:cs="宋体"/>
          <w:b/>
          <w:bCs/>
          <w:color w:val="auto"/>
          <w:sz w:val="22"/>
          <w:szCs w:val="22"/>
          <w:highlight w:val="none"/>
          <w:lang w:val="zh-CN" w:eastAsia="zh-CN" w:bidi="ar-SA"/>
        </w:rPr>
        <w:t>供应商认为应附的其他资格证明材料。</w:t>
      </w:r>
    </w:p>
    <w:p w14:paraId="59E7BD06">
      <w:pPr>
        <w:pStyle w:val="11"/>
        <w:spacing w:before="1" w:line="360" w:lineRule="auto"/>
        <w:rPr>
          <w:rFonts w:hint="eastAsia" w:ascii="宋体" w:hAnsi="宋体" w:eastAsia="宋体" w:cs="宋体"/>
          <w:color w:val="auto"/>
          <w:sz w:val="12"/>
          <w:highlight w:val="none"/>
          <w:lang w:eastAsia="zh-CN"/>
        </w:rPr>
      </w:pPr>
    </w:p>
    <w:p w14:paraId="639F814F">
      <w:pPr>
        <w:pStyle w:val="3"/>
        <w:spacing w:before="65" w:line="360" w:lineRule="auto"/>
        <w:jc w:val="center"/>
        <w:outlineLvl w:val="1"/>
        <w:rPr>
          <w:rFonts w:hint="eastAsia" w:ascii="宋体" w:hAnsi="宋体" w:eastAsia="宋体" w:cs="宋体"/>
          <w:color w:val="auto"/>
          <w:sz w:val="29"/>
          <w:highlight w:val="none"/>
          <w:lang w:eastAsia="zh-CN"/>
        </w:rPr>
      </w:pPr>
      <w:bookmarkStart w:id="171" w:name="八、服务保障方案"/>
      <w:bookmarkEnd w:id="171"/>
      <w:bookmarkStart w:id="172" w:name="七、货物（服务）规格、技术参数偏离表"/>
      <w:bookmarkEnd w:id="172"/>
      <w:bookmarkStart w:id="173" w:name="_Toc10289"/>
      <w:bookmarkStart w:id="174" w:name="_Toc3828"/>
      <w:bookmarkStart w:id="175" w:name="_Toc10774"/>
      <w:r>
        <w:rPr>
          <w:rFonts w:hint="eastAsia"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eastAsia="zh-CN"/>
        </w:rPr>
        <w:t>、</w:t>
      </w:r>
      <w:bookmarkEnd w:id="173"/>
      <w:bookmarkEnd w:id="174"/>
      <w:bookmarkEnd w:id="175"/>
      <w:r>
        <w:rPr>
          <w:rFonts w:hint="eastAsia" w:cs="宋体"/>
          <w:b/>
          <w:bCs/>
          <w:color w:val="auto"/>
          <w:highlight w:val="none"/>
          <w:lang w:val="en-US" w:eastAsia="zh-CN"/>
        </w:rPr>
        <w:t>项目管理机构</w:t>
      </w:r>
    </w:p>
    <w:p w14:paraId="1D882CA7">
      <w:pPr>
        <w:jc w:val="center"/>
        <w:rPr>
          <w:rFonts w:hint="eastAsia" w:ascii="宋体" w:hAnsi="宋体" w:eastAsia="宋体" w:cs="宋体"/>
          <w:b/>
          <w:bCs/>
          <w:color w:val="auto"/>
          <w:sz w:val="22"/>
          <w:szCs w:val="22"/>
        </w:rPr>
      </w:pPr>
      <w:bookmarkStart w:id="176" w:name="九、售后服务承诺"/>
      <w:bookmarkEnd w:id="176"/>
      <w:r>
        <w:rPr>
          <w:rFonts w:hint="eastAsia" w:ascii="宋体" w:hAnsi="宋体" w:eastAsia="宋体" w:cs="宋体"/>
          <w:b/>
          <w:bCs/>
          <w:color w:val="auto"/>
          <w:sz w:val="22"/>
          <w:szCs w:val="22"/>
        </w:rPr>
        <w:t>项目管理机构组成表</w:t>
      </w:r>
    </w:p>
    <w:tbl>
      <w:tblPr>
        <w:tblStyle w:val="32"/>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1199"/>
        <w:gridCol w:w="1199"/>
        <w:gridCol w:w="1199"/>
        <w:gridCol w:w="1199"/>
        <w:gridCol w:w="1199"/>
        <w:gridCol w:w="1203"/>
        <w:gridCol w:w="1200"/>
      </w:tblGrid>
      <w:tr w14:paraId="40EB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vMerge w:val="restart"/>
            <w:noWrap w:val="0"/>
            <w:vAlign w:val="center"/>
          </w:tcPr>
          <w:p w14:paraId="0F62C573">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序号</w:t>
            </w:r>
          </w:p>
        </w:tc>
        <w:tc>
          <w:tcPr>
            <w:tcW w:w="1199" w:type="dxa"/>
            <w:vMerge w:val="restart"/>
            <w:noWrap w:val="0"/>
            <w:vAlign w:val="center"/>
          </w:tcPr>
          <w:p w14:paraId="06E5159D">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姓名</w:t>
            </w:r>
          </w:p>
        </w:tc>
        <w:tc>
          <w:tcPr>
            <w:tcW w:w="1199" w:type="dxa"/>
            <w:vMerge w:val="restart"/>
            <w:noWrap w:val="0"/>
            <w:vAlign w:val="center"/>
          </w:tcPr>
          <w:p w14:paraId="79D0FDE2">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职称</w:t>
            </w:r>
          </w:p>
        </w:tc>
        <w:tc>
          <w:tcPr>
            <w:tcW w:w="4800" w:type="dxa"/>
            <w:gridSpan w:val="4"/>
            <w:noWrap w:val="0"/>
            <w:vAlign w:val="center"/>
          </w:tcPr>
          <w:p w14:paraId="205E9004">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执业或职业资格证明</w:t>
            </w:r>
          </w:p>
        </w:tc>
        <w:tc>
          <w:tcPr>
            <w:tcW w:w="1200" w:type="dxa"/>
            <w:vMerge w:val="restart"/>
            <w:noWrap w:val="0"/>
            <w:vAlign w:val="center"/>
          </w:tcPr>
          <w:p w14:paraId="27FF00EA">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备注</w:t>
            </w:r>
          </w:p>
        </w:tc>
      </w:tr>
      <w:tr w14:paraId="1BB1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vMerge w:val="continue"/>
            <w:noWrap w:val="0"/>
            <w:vAlign w:val="center"/>
          </w:tcPr>
          <w:p w14:paraId="63098F53">
            <w:pPr>
              <w:widowControl/>
              <w:jc w:val="center"/>
              <w:rPr>
                <w:rFonts w:hint="eastAsia" w:ascii="宋体" w:hAnsi="宋体" w:eastAsia="宋体" w:cs="宋体"/>
                <w:color w:val="auto"/>
                <w:kern w:val="0"/>
                <w:sz w:val="22"/>
                <w:szCs w:val="22"/>
                <w:lang w:bidi="ar"/>
              </w:rPr>
            </w:pPr>
          </w:p>
        </w:tc>
        <w:tc>
          <w:tcPr>
            <w:tcW w:w="1199" w:type="dxa"/>
            <w:vMerge w:val="continue"/>
            <w:noWrap w:val="0"/>
            <w:vAlign w:val="center"/>
          </w:tcPr>
          <w:p w14:paraId="6F11C286">
            <w:pPr>
              <w:widowControl/>
              <w:jc w:val="center"/>
              <w:rPr>
                <w:rFonts w:hint="eastAsia" w:ascii="宋体" w:hAnsi="宋体" w:eastAsia="宋体" w:cs="宋体"/>
                <w:color w:val="auto"/>
                <w:kern w:val="0"/>
                <w:sz w:val="22"/>
                <w:szCs w:val="22"/>
                <w:lang w:bidi="ar"/>
              </w:rPr>
            </w:pPr>
          </w:p>
        </w:tc>
        <w:tc>
          <w:tcPr>
            <w:tcW w:w="1199" w:type="dxa"/>
            <w:vMerge w:val="continue"/>
            <w:noWrap w:val="0"/>
            <w:vAlign w:val="center"/>
          </w:tcPr>
          <w:p w14:paraId="2B74A0A4">
            <w:pPr>
              <w:widowControl/>
              <w:jc w:val="center"/>
              <w:rPr>
                <w:rFonts w:hint="eastAsia" w:ascii="宋体" w:hAnsi="宋体" w:eastAsia="宋体" w:cs="宋体"/>
                <w:color w:val="auto"/>
                <w:kern w:val="0"/>
                <w:sz w:val="22"/>
                <w:szCs w:val="22"/>
                <w:lang w:bidi="ar"/>
              </w:rPr>
            </w:pPr>
          </w:p>
        </w:tc>
        <w:tc>
          <w:tcPr>
            <w:tcW w:w="1199" w:type="dxa"/>
            <w:noWrap w:val="0"/>
            <w:vAlign w:val="center"/>
          </w:tcPr>
          <w:p w14:paraId="3B8013AB">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证书名称</w:t>
            </w:r>
          </w:p>
        </w:tc>
        <w:tc>
          <w:tcPr>
            <w:tcW w:w="1199" w:type="dxa"/>
            <w:noWrap w:val="0"/>
            <w:vAlign w:val="center"/>
          </w:tcPr>
          <w:p w14:paraId="20C538C1">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级别</w:t>
            </w:r>
          </w:p>
        </w:tc>
        <w:tc>
          <w:tcPr>
            <w:tcW w:w="1199" w:type="dxa"/>
            <w:noWrap w:val="0"/>
            <w:vAlign w:val="center"/>
          </w:tcPr>
          <w:p w14:paraId="5C796277">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证号</w:t>
            </w:r>
          </w:p>
        </w:tc>
        <w:tc>
          <w:tcPr>
            <w:tcW w:w="1203" w:type="dxa"/>
            <w:noWrap w:val="0"/>
            <w:vAlign w:val="center"/>
          </w:tcPr>
          <w:p w14:paraId="19E8800D">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专业</w:t>
            </w:r>
          </w:p>
        </w:tc>
        <w:tc>
          <w:tcPr>
            <w:tcW w:w="1200" w:type="dxa"/>
            <w:vMerge w:val="continue"/>
            <w:noWrap w:val="0"/>
            <w:vAlign w:val="center"/>
          </w:tcPr>
          <w:p w14:paraId="4ABC22CB">
            <w:pPr>
              <w:widowControl/>
              <w:jc w:val="center"/>
              <w:rPr>
                <w:rFonts w:hint="eastAsia" w:ascii="宋体" w:hAnsi="宋体" w:eastAsia="宋体" w:cs="宋体"/>
                <w:color w:val="auto"/>
                <w:kern w:val="0"/>
                <w:sz w:val="22"/>
                <w:szCs w:val="22"/>
                <w:lang w:bidi="ar"/>
              </w:rPr>
            </w:pPr>
          </w:p>
        </w:tc>
      </w:tr>
      <w:tr w14:paraId="14EC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noWrap w:val="0"/>
            <w:vAlign w:val="center"/>
          </w:tcPr>
          <w:p w14:paraId="5DA1A1CF">
            <w:pPr>
              <w:widowControl/>
              <w:jc w:val="center"/>
              <w:rPr>
                <w:rFonts w:hint="eastAsia" w:ascii="宋体" w:hAnsi="宋体" w:eastAsia="宋体" w:cs="宋体"/>
                <w:color w:val="auto"/>
                <w:kern w:val="0"/>
                <w:sz w:val="22"/>
                <w:szCs w:val="22"/>
                <w:lang w:bidi="ar"/>
              </w:rPr>
            </w:pPr>
          </w:p>
        </w:tc>
        <w:tc>
          <w:tcPr>
            <w:tcW w:w="1199" w:type="dxa"/>
            <w:noWrap w:val="0"/>
            <w:vAlign w:val="center"/>
          </w:tcPr>
          <w:p w14:paraId="361E1901">
            <w:pPr>
              <w:widowControl/>
              <w:jc w:val="center"/>
              <w:rPr>
                <w:rFonts w:hint="eastAsia" w:ascii="宋体" w:hAnsi="宋体" w:eastAsia="宋体" w:cs="宋体"/>
                <w:color w:val="auto"/>
                <w:kern w:val="0"/>
                <w:sz w:val="22"/>
                <w:szCs w:val="22"/>
                <w:lang w:bidi="ar"/>
              </w:rPr>
            </w:pPr>
          </w:p>
        </w:tc>
        <w:tc>
          <w:tcPr>
            <w:tcW w:w="1199" w:type="dxa"/>
            <w:noWrap w:val="0"/>
            <w:vAlign w:val="center"/>
          </w:tcPr>
          <w:p w14:paraId="67D5A912">
            <w:pPr>
              <w:widowControl/>
              <w:jc w:val="center"/>
              <w:rPr>
                <w:rFonts w:hint="eastAsia" w:ascii="宋体" w:hAnsi="宋体" w:eastAsia="宋体" w:cs="宋体"/>
                <w:color w:val="auto"/>
                <w:kern w:val="0"/>
                <w:sz w:val="22"/>
                <w:szCs w:val="22"/>
                <w:lang w:bidi="ar"/>
              </w:rPr>
            </w:pPr>
          </w:p>
        </w:tc>
        <w:tc>
          <w:tcPr>
            <w:tcW w:w="1199" w:type="dxa"/>
            <w:noWrap w:val="0"/>
            <w:vAlign w:val="center"/>
          </w:tcPr>
          <w:p w14:paraId="09F152A5">
            <w:pPr>
              <w:widowControl/>
              <w:jc w:val="center"/>
              <w:rPr>
                <w:rFonts w:hint="eastAsia" w:ascii="宋体" w:hAnsi="宋体" w:eastAsia="宋体" w:cs="宋体"/>
                <w:color w:val="auto"/>
                <w:kern w:val="0"/>
                <w:sz w:val="22"/>
                <w:szCs w:val="22"/>
                <w:lang w:bidi="ar"/>
              </w:rPr>
            </w:pPr>
          </w:p>
        </w:tc>
        <w:tc>
          <w:tcPr>
            <w:tcW w:w="1199" w:type="dxa"/>
            <w:noWrap w:val="0"/>
            <w:vAlign w:val="center"/>
          </w:tcPr>
          <w:p w14:paraId="7DAA7AAE">
            <w:pPr>
              <w:widowControl/>
              <w:jc w:val="center"/>
              <w:rPr>
                <w:rFonts w:hint="eastAsia" w:ascii="宋体" w:hAnsi="宋体" w:eastAsia="宋体" w:cs="宋体"/>
                <w:color w:val="auto"/>
                <w:kern w:val="0"/>
                <w:sz w:val="22"/>
                <w:szCs w:val="22"/>
                <w:lang w:bidi="ar"/>
              </w:rPr>
            </w:pPr>
          </w:p>
        </w:tc>
        <w:tc>
          <w:tcPr>
            <w:tcW w:w="1199" w:type="dxa"/>
            <w:noWrap w:val="0"/>
            <w:vAlign w:val="center"/>
          </w:tcPr>
          <w:p w14:paraId="43137F65">
            <w:pPr>
              <w:widowControl/>
              <w:jc w:val="center"/>
              <w:rPr>
                <w:rFonts w:hint="eastAsia" w:ascii="宋体" w:hAnsi="宋体" w:eastAsia="宋体" w:cs="宋体"/>
                <w:color w:val="auto"/>
                <w:kern w:val="0"/>
                <w:sz w:val="22"/>
                <w:szCs w:val="22"/>
                <w:lang w:bidi="ar"/>
              </w:rPr>
            </w:pPr>
          </w:p>
        </w:tc>
        <w:tc>
          <w:tcPr>
            <w:tcW w:w="1203" w:type="dxa"/>
            <w:noWrap w:val="0"/>
            <w:vAlign w:val="center"/>
          </w:tcPr>
          <w:p w14:paraId="7CA23BC6">
            <w:pPr>
              <w:widowControl/>
              <w:jc w:val="center"/>
              <w:rPr>
                <w:rFonts w:hint="eastAsia" w:ascii="宋体" w:hAnsi="宋体" w:eastAsia="宋体" w:cs="宋体"/>
                <w:color w:val="auto"/>
                <w:kern w:val="0"/>
                <w:sz w:val="22"/>
                <w:szCs w:val="22"/>
                <w:lang w:bidi="ar"/>
              </w:rPr>
            </w:pPr>
          </w:p>
        </w:tc>
        <w:tc>
          <w:tcPr>
            <w:tcW w:w="1200" w:type="dxa"/>
            <w:noWrap w:val="0"/>
            <w:vAlign w:val="center"/>
          </w:tcPr>
          <w:p w14:paraId="7061199F">
            <w:pPr>
              <w:widowControl/>
              <w:jc w:val="center"/>
              <w:rPr>
                <w:rFonts w:hint="eastAsia" w:ascii="宋体" w:hAnsi="宋体" w:eastAsia="宋体" w:cs="宋体"/>
                <w:color w:val="auto"/>
                <w:kern w:val="0"/>
                <w:sz w:val="22"/>
                <w:szCs w:val="22"/>
                <w:lang w:bidi="ar"/>
              </w:rPr>
            </w:pPr>
          </w:p>
        </w:tc>
      </w:tr>
      <w:tr w14:paraId="5419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noWrap w:val="0"/>
            <w:vAlign w:val="top"/>
          </w:tcPr>
          <w:p w14:paraId="6F7B7925">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E7B39E8">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B0FB2BF">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585D3F4F">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2208CA4B">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43E97735">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09063A7C">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5E90263B">
            <w:pPr>
              <w:widowControl/>
              <w:jc w:val="left"/>
              <w:rPr>
                <w:rFonts w:hint="eastAsia" w:ascii="宋体" w:hAnsi="宋体" w:eastAsia="宋体" w:cs="宋体"/>
                <w:b/>
                <w:bCs/>
                <w:color w:val="auto"/>
                <w:kern w:val="0"/>
                <w:sz w:val="22"/>
                <w:szCs w:val="22"/>
                <w:lang w:bidi="ar"/>
              </w:rPr>
            </w:pPr>
          </w:p>
        </w:tc>
      </w:tr>
      <w:tr w14:paraId="3F2E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noWrap w:val="0"/>
            <w:vAlign w:val="top"/>
          </w:tcPr>
          <w:p w14:paraId="6D2009C3">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F7C07F1">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06144A20">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06C75E0">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15BB322E">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09B8243">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38BC6AB4">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789BAB99">
            <w:pPr>
              <w:widowControl/>
              <w:jc w:val="left"/>
              <w:rPr>
                <w:rFonts w:hint="eastAsia" w:ascii="宋体" w:hAnsi="宋体" w:eastAsia="宋体" w:cs="宋体"/>
                <w:b/>
                <w:bCs/>
                <w:color w:val="auto"/>
                <w:kern w:val="0"/>
                <w:sz w:val="22"/>
                <w:szCs w:val="22"/>
                <w:lang w:bidi="ar"/>
              </w:rPr>
            </w:pPr>
          </w:p>
        </w:tc>
      </w:tr>
      <w:tr w14:paraId="5340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noWrap w:val="0"/>
            <w:vAlign w:val="top"/>
          </w:tcPr>
          <w:p w14:paraId="40288223">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5086BD20">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3AE360F">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11C0DB16">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1E73CB9F">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2D7C229">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1EEC6173">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5B1B7A2C">
            <w:pPr>
              <w:widowControl/>
              <w:jc w:val="left"/>
              <w:rPr>
                <w:rFonts w:hint="eastAsia" w:ascii="宋体" w:hAnsi="宋体" w:eastAsia="宋体" w:cs="宋体"/>
                <w:b/>
                <w:bCs/>
                <w:color w:val="auto"/>
                <w:kern w:val="0"/>
                <w:sz w:val="22"/>
                <w:szCs w:val="22"/>
                <w:lang w:bidi="ar"/>
              </w:rPr>
            </w:pPr>
          </w:p>
        </w:tc>
      </w:tr>
      <w:tr w14:paraId="2E5D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noWrap w:val="0"/>
            <w:vAlign w:val="top"/>
          </w:tcPr>
          <w:p w14:paraId="2C5DF4A2">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1EA43908">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2E9355B8">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71274F92">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262DDFDB">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273B484B">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2AD988E4">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2306A906">
            <w:pPr>
              <w:widowControl/>
              <w:jc w:val="left"/>
              <w:rPr>
                <w:rFonts w:hint="eastAsia" w:ascii="宋体" w:hAnsi="宋体" w:eastAsia="宋体" w:cs="宋体"/>
                <w:b/>
                <w:bCs/>
                <w:color w:val="auto"/>
                <w:kern w:val="0"/>
                <w:sz w:val="22"/>
                <w:szCs w:val="22"/>
                <w:lang w:bidi="ar"/>
              </w:rPr>
            </w:pPr>
          </w:p>
        </w:tc>
      </w:tr>
      <w:tr w14:paraId="2C25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noWrap w:val="0"/>
            <w:vAlign w:val="top"/>
          </w:tcPr>
          <w:p w14:paraId="45A3132C">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7BB74AB">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7F2AD2D9">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4FD45A5D">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71F6A915">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04274FB6">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2365133D">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4606EA0E">
            <w:pPr>
              <w:widowControl/>
              <w:jc w:val="left"/>
              <w:rPr>
                <w:rFonts w:hint="eastAsia" w:ascii="宋体" w:hAnsi="宋体" w:eastAsia="宋体" w:cs="宋体"/>
                <w:b/>
                <w:bCs/>
                <w:color w:val="auto"/>
                <w:kern w:val="0"/>
                <w:sz w:val="22"/>
                <w:szCs w:val="22"/>
                <w:lang w:bidi="ar"/>
              </w:rPr>
            </w:pPr>
          </w:p>
        </w:tc>
      </w:tr>
      <w:tr w14:paraId="1420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199" w:type="dxa"/>
            <w:noWrap w:val="0"/>
            <w:vAlign w:val="top"/>
          </w:tcPr>
          <w:p w14:paraId="01BDEA73">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0A99585">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EB6106E">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4CA57F97">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2D5678B0">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0FE7DED">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13E14A5E">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7A7647AE">
            <w:pPr>
              <w:widowControl/>
              <w:jc w:val="left"/>
              <w:rPr>
                <w:rFonts w:hint="eastAsia" w:ascii="宋体" w:hAnsi="宋体" w:eastAsia="宋体" w:cs="宋体"/>
                <w:b/>
                <w:bCs/>
                <w:color w:val="auto"/>
                <w:kern w:val="0"/>
                <w:sz w:val="22"/>
                <w:szCs w:val="22"/>
                <w:lang w:bidi="ar"/>
              </w:rPr>
            </w:pPr>
          </w:p>
        </w:tc>
      </w:tr>
      <w:tr w14:paraId="11D7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199" w:type="dxa"/>
            <w:noWrap w:val="0"/>
            <w:vAlign w:val="top"/>
          </w:tcPr>
          <w:p w14:paraId="380F06DE">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1816DD38">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BA32E6B">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0AA5DF2B">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03A8E113">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4690266D">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1BE31B41">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4184AC05">
            <w:pPr>
              <w:widowControl/>
              <w:jc w:val="left"/>
              <w:rPr>
                <w:rFonts w:hint="eastAsia" w:ascii="宋体" w:hAnsi="宋体" w:eastAsia="宋体" w:cs="宋体"/>
                <w:b/>
                <w:bCs/>
                <w:color w:val="auto"/>
                <w:kern w:val="0"/>
                <w:sz w:val="22"/>
                <w:szCs w:val="22"/>
                <w:lang w:bidi="ar"/>
              </w:rPr>
            </w:pPr>
          </w:p>
        </w:tc>
      </w:tr>
      <w:tr w14:paraId="6674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199" w:type="dxa"/>
            <w:noWrap w:val="0"/>
            <w:vAlign w:val="top"/>
          </w:tcPr>
          <w:p w14:paraId="03CDE919">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7B527540">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E643DD9">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4D1211E0">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7F44D2B2">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D3A3CE9">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18086EE1">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01B4D77E">
            <w:pPr>
              <w:widowControl/>
              <w:jc w:val="left"/>
              <w:rPr>
                <w:rFonts w:hint="eastAsia" w:ascii="宋体" w:hAnsi="宋体" w:eastAsia="宋体" w:cs="宋体"/>
                <w:b/>
                <w:bCs/>
                <w:color w:val="auto"/>
                <w:kern w:val="0"/>
                <w:sz w:val="22"/>
                <w:szCs w:val="22"/>
                <w:lang w:bidi="ar"/>
              </w:rPr>
            </w:pPr>
          </w:p>
        </w:tc>
      </w:tr>
      <w:tr w14:paraId="038A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199" w:type="dxa"/>
            <w:noWrap w:val="0"/>
            <w:vAlign w:val="top"/>
          </w:tcPr>
          <w:p w14:paraId="1E2DD957">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8BF2A79">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73C91A5">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59FD3477">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2669F9CF">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304B97B">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752840A5">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548F8E74">
            <w:pPr>
              <w:widowControl/>
              <w:jc w:val="left"/>
              <w:rPr>
                <w:rFonts w:hint="eastAsia" w:ascii="宋体" w:hAnsi="宋体" w:eastAsia="宋体" w:cs="宋体"/>
                <w:b/>
                <w:bCs/>
                <w:color w:val="auto"/>
                <w:kern w:val="0"/>
                <w:sz w:val="22"/>
                <w:szCs w:val="22"/>
                <w:lang w:bidi="ar"/>
              </w:rPr>
            </w:pPr>
          </w:p>
        </w:tc>
      </w:tr>
    </w:tbl>
    <w:p w14:paraId="61F73EF4">
      <w:pPr>
        <w:spacing w:line="360" w:lineRule="auto"/>
        <w:jc w:val="center"/>
        <w:rPr>
          <w:rFonts w:hint="eastAsia" w:ascii="宋体" w:hAnsi="宋体" w:eastAsia="宋体" w:cs="宋体"/>
          <w:color w:val="auto"/>
          <w:sz w:val="22"/>
          <w:szCs w:val="22"/>
          <w:highlight w:val="none"/>
          <w:lang w:eastAsia="zh-CN"/>
        </w:rPr>
        <w:sectPr>
          <w:pgSz w:w="11910" w:h="16840"/>
          <w:pgMar w:top="1440" w:right="1080" w:bottom="1440" w:left="1080" w:header="878" w:footer="1130" w:gutter="0"/>
          <w:pgNumType w:fmt="decimal"/>
          <w:cols w:space="720" w:num="1"/>
        </w:sectPr>
      </w:pPr>
    </w:p>
    <w:p w14:paraId="298C7C0D">
      <w:pPr>
        <w:pStyle w:val="3"/>
        <w:jc w:val="center"/>
        <w:rPr>
          <w:rStyle w:val="93"/>
          <w:rFonts w:hint="eastAsia" w:cs="宋体"/>
          <w:b/>
          <w:bCs/>
        </w:rPr>
      </w:pPr>
      <w:r>
        <w:rPr>
          <w:rStyle w:val="93"/>
          <w:rFonts w:hint="eastAsia" w:cs="宋体"/>
          <w:b/>
          <w:bCs/>
        </w:rPr>
        <w:t>主要人员简历表</w:t>
      </w:r>
    </w:p>
    <w:p w14:paraId="66EFA385">
      <w:pPr>
        <w:autoSpaceDE w:val="0"/>
        <w:autoSpaceDN w:val="0"/>
        <w:adjustRightInd w:val="0"/>
        <w:spacing w:line="200" w:lineRule="exact"/>
        <w:jc w:val="left"/>
        <w:rPr>
          <w:rFonts w:hint="eastAsia"/>
          <w:kern w:val="0"/>
        </w:rPr>
      </w:pPr>
    </w:p>
    <w:tbl>
      <w:tblPr>
        <w:tblStyle w:val="32"/>
        <w:tblW w:w="0" w:type="auto"/>
        <w:jc w:val="center"/>
        <w:tblLayout w:type="fixed"/>
        <w:tblCellMar>
          <w:top w:w="0" w:type="dxa"/>
          <w:left w:w="0" w:type="dxa"/>
          <w:bottom w:w="0" w:type="dxa"/>
          <w:right w:w="0" w:type="dxa"/>
        </w:tblCellMar>
      </w:tblPr>
      <w:tblGrid>
        <w:gridCol w:w="1212"/>
        <w:gridCol w:w="367"/>
        <w:gridCol w:w="707"/>
        <w:gridCol w:w="979"/>
        <w:gridCol w:w="1091"/>
        <w:gridCol w:w="723"/>
        <w:gridCol w:w="1289"/>
        <w:gridCol w:w="410"/>
        <w:gridCol w:w="1940"/>
      </w:tblGrid>
      <w:tr w14:paraId="54A9B4AF">
        <w:tblPrEx>
          <w:tblCellMar>
            <w:top w:w="0" w:type="dxa"/>
            <w:left w:w="0" w:type="dxa"/>
            <w:bottom w:w="0" w:type="dxa"/>
            <w:right w:w="0" w:type="dxa"/>
          </w:tblCellMar>
        </w:tblPrEx>
        <w:trPr>
          <w:trHeight w:val="981" w:hRule="exact"/>
          <w:jc w:val="center"/>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E08A161">
            <w:pPr>
              <w:tabs>
                <w:tab w:val="left" w:pos="680"/>
              </w:tabs>
              <w:autoSpaceDE w:val="0"/>
              <w:autoSpaceDN w:val="0"/>
              <w:adjustRightInd w:val="0"/>
              <w:ind w:left="-8" w:right="-20" w:firstLine="6" w:firstLineChars="3"/>
              <w:jc w:val="center"/>
              <w:rPr>
                <w:rFonts w:hint="eastAsia"/>
                <w:kern w:val="0"/>
              </w:rPr>
            </w:pPr>
            <w:r>
              <w:rPr>
                <w:rFonts w:hint="eastAsia"/>
                <w:kern w:val="0"/>
              </w:rPr>
              <w:t>姓</w:t>
            </w:r>
            <w:r>
              <w:rPr>
                <w:rFonts w:hint="eastAsia"/>
                <w:kern w:val="0"/>
              </w:rPr>
              <w:tab/>
            </w:r>
            <w:r>
              <w:rPr>
                <w:rFonts w:hint="eastAsia"/>
                <w:kern w:val="0"/>
              </w:rPr>
              <w:t>名</w:t>
            </w:r>
          </w:p>
        </w:tc>
        <w:tc>
          <w:tcPr>
            <w:tcW w:w="1074" w:type="dxa"/>
            <w:gridSpan w:val="2"/>
            <w:tcBorders>
              <w:top w:val="single" w:color="000000" w:sz="4" w:space="0"/>
              <w:left w:val="single" w:color="000000" w:sz="4" w:space="0"/>
              <w:bottom w:val="single" w:color="000000" w:sz="4" w:space="0"/>
              <w:right w:val="single" w:color="000000" w:sz="4" w:space="0"/>
            </w:tcBorders>
            <w:noWrap w:val="0"/>
            <w:vAlign w:val="center"/>
          </w:tcPr>
          <w:p w14:paraId="6184AB68">
            <w:pPr>
              <w:autoSpaceDE w:val="0"/>
              <w:autoSpaceDN w:val="0"/>
              <w:adjustRightInd w:val="0"/>
              <w:jc w:val="center"/>
              <w:rPr>
                <w:rFonts w:hint="eastAsia"/>
                <w:kern w:val="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406BD229">
            <w:pPr>
              <w:autoSpaceDE w:val="0"/>
              <w:autoSpaceDN w:val="0"/>
              <w:adjustRightInd w:val="0"/>
              <w:ind w:left="26" w:leftChars="12" w:right="-20"/>
              <w:jc w:val="center"/>
              <w:rPr>
                <w:rFonts w:hint="eastAsia"/>
                <w:kern w:val="0"/>
              </w:rPr>
            </w:pPr>
            <w:r>
              <w:rPr>
                <w:rFonts w:hint="eastAsia"/>
                <w:kern w:val="0"/>
              </w:rPr>
              <w:t>年龄</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8489602">
            <w:pPr>
              <w:autoSpaceDE w:val="0"/>
              <w:autoSpaceDN w:val="0"/>
              <w:adjustRightInd w:val="0"/>
              <w:jc w:val="center"/>
              <w:rPr>
                <w:rFonts w:hint="eastAsia"/>
                <w:kern w:val="0"/>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36A478E">
            <w:pPr>
              <w:autoSpaceDE w:val="0"/>
              <w:autoSpaceDN w:val="0"/>
              <w:adjustRightInd w:val="0"/>
              <w:spacing w:before="2" w:line="440" w:lineRule="exact"/>
              <w:ind w:right="50"/>
              <w:jc w:val="center"/>
              <w:rPr>
                <w:rFonts w:hint="eastAsia"/>
                <w:kern w:val="0"/>
              </w:rPr>
            </w:pPr>
            <w:r>
              <w:rPr>
                <w:rFonts w:hint="eastAsia"/>
                <w:kern w:val="0"/>
              </w:rPr>
              <w:t>执业</w:t>
            </w:r>
            <w:r>
              <w:rPr>
                <w:rFonts w:hint="eastAsia"/>
                <w:spacing w:val="-2"/>
                <w:kern w:val="0"/>
              </w:rPr>
              <w:t>资</w:t>
            </w:r>
            <w:r>
              <w:rPr>
                <w:rFonts w:hint="eastAsia"/>
                <w:kern w:val="0"/>
              </w:rPr>
              <w:t>格</w:t>
            </w:r>
            <w:r>
              <w:rPr>
                <w:rFonts w:hint="eastAsia"/>
                <w:spacing w:val="-2"/>
                <w:kern w:val="0"/>
              </w:rPr>
              <w:t>证</w:t>
            </w:r>
            <w:r>
              <w:rPr>
                <w:rFonts w:hint="eastAsia"/>
                <w:kern w:val="0"/>
              </w:rPr>
              <w:t>书</w:t>
            </w:r>
          </w:p>
          <w:p w14:paraId="26939E38">
            <w:pPr>
              <w:autoSpaceDE w:val="0"/>
              <w:autoSpaceDN w:val="0"/>
              <w:adjustRightInd w:val="0"/>
              <w:spacing w:before="2" w:line="440" w:lineRule="exact"/>
              <w:ind w:right="50"/>
              <w:jc w:val="center"/>
              <w:rPr>
                <w:rFonts w:hint="eastAsia"/>
                <w:kern w:val="0"/>
              </w:rPr>
            </w:pPr>
            <w:r>
              <w:rPr>
                <w:rFonts w:hint="eastAsia"/>
                <w:spacing w:val="-2"/>
                <w:kern w:val="0"/>
              </w:rPr>
              <w:t>（</w:t>
            </w:r>
            <w:r>
              <w:rPr>
                <w:rFonts w:hint="eastAsia"/>
                <w:kern w:val="0"/>
              </w:rPr>
              <w:t>或</w:t>
            </w:r>
            <w:r>
              <w:rPr>
                <w:rFonts w:hint="eastAsia"/>
                <w:spacing w:val="-2"/>
                <w:kern w:val="0"/>
              </w:rPr>
              <w:t>上</w:t>
            </w:r>
            <w:r>
              <w:rPr>
                <w:rFonts w:hint="eastAsia"/>
                <w:kern w:val="0"/>
              </w:rPr>
              <w:t>岗证书</w:t>
            </w:r>
            <w:r>
              <w:rPr>
                <w:rFonts w:hint="eastAsia"/>
                <w:spacing w:val="-2"/>
                <w:kern w:val="0"/>
              </w:rPr>
              <w:t>）</w:t>
            </w:r>
            <w:r>
              <w:rPr>
                <w:rFonts w:hint="eastAsia"/>
                <w:kern w:val="0"/>
              </w:rPr>
              <w:t>名称</w:t>
            </w: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3FB915A5">
            <w:pPr>
              <w:autoSpaceDE w:val="0"/>
              <w:autoSpaceDN w:val="0"/>
              <w:adjustRightInd w:val="0"/>
              <w:jc w:val="center"/>
              <w:rPr>
                <w:rFonts w:hint="eastAsia"/>
                <w:kern w:val="0"/>
              </w:rPr>
            </w:pPr>
          </w:p>
        </w:tc>
      </w:tr>
      <w:tr w14:paraId="49459C05">
        <w:tblPrEx>
          <w:tblCellMar>
            <w:top w:w="0" w:type="dxa"/>
            <w:left w:w="0" w:type="dxa"/>
            <w:bottom w:w="0" w:type="dxa"/>
            <w:right w:w="0" w:type="dxa"/>
          </w:tblCellMar>
        </w:tblPrEx>
        <w:trPr>
          <w:trHeight w:val="770" w:hRule="exact"/>
          <w:jc w:val="center"/>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E10055A">
            <w:pPr>
              <w:tabs>
                <w:tab w:val="left" w:pos="680"/>
              </w:tabs>
              <w:autoSpaceDE w:val="0"/>
              <w:autoSpaceDN w:val="0"/>
              <w:adjustRightInd w:val="0"/>
              <w:ind w:right="-20"/>
              <w:jc w:val="center"/>
              <w:rPr>
                <w:rFonts w:hint="eastAsia"/>
                <w:kern w:val="0"/>
              </w:rPr>
            </w:pPr>
            <w:r>
              <w:rPr>
                <w:rFonts w:hint="eastAsia"/>
                <w:kern w:val="0"/>
              </w:rPr>
              <w:t>职</w:t>
            </w:r>
            <w:r>
              <w:rPr>
                <w:rFonts w:hint="eastAsia"/>
                <w:kern w:val="0"/>
              </w:rPr>
              <w:tab/>
            </w:r>
            <w:r>
              <w:rPr>
                <w:rFonts w:hint="eastAsia"/>
                <w:kern w:val="0"/>
              </w:rPr>
              <w:t>称</w:t>
            </w:r>
          </w:p>
        </w:tc>
        <w:tc>
          <w:tcPr>
            <w:tcW w:w="1074" w:type="dxa"/>
            <w:gridSpan w:val="2"/>
            <w:tcBorders>
              <w:top w:val="single" w:color="000000" w:sz="4" w:space="0"/>
              <w:left w:val="single" w:color="000000" w:sz="4" w:space="0"/>
              <w:bottom w:val="single" w:color="000000" w:sz="4" w:space="0"/>
              <w:right w:val="single" w:color="000000" w:sz="4" w:space="0"/>
            </w:tcBorders>
            <w:noWrap w:val="0"/>
            <w:vAlign w:val="center"/>
          </w:tcPr>
          <w:p w14:paraId="78A58F0A">
            <w:pPr>
              <w:autoSpaceDE w:val="0"/>
              <w:autoSpaceDN w:val="0"/>
              <w:adjustRightInd w:val="0"/>
              <w:jc w:val="center"/>
              <w:rPr>
                <w:rFonts w:hint="eastAsia"/>
                <w:kern w:val="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1DB6235B">
            <w:pPr>
              <w:autoSpaceDE w:val="0"/>
              <w:autoSpaceDN w:val="0"/>
              <w:adjustRightInd w:val="0"/>
              <w:ind w:left="2" w:right="-20" w:firstLine="24" w:firstLineChars="11"/>
              <w:jc w:val="center"/>
              <w:rPr>
                <w:rFonts w:hint="eastAsia"/>
                <w:kern w:val="0"/>
              </w:rPr>
            </w:pPr>
            <w:r>
              <w:rPr>
                <w:rFonts w:hint="eastAsia"/>
                <w:kern w:val="0"/>
              </w:rPr>
              <w:t>学历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7CC47F7">
            <w:pPr>
              <w:autoSpaceDE w:val="0"/>
              <w:autoSpaceDN w:val="0"/>
              <w:adjustRightInd w:val="0"/>
              <w:jc w:val="center"/>
              <w:rPr>
                <w:rFonts w:hint="eastAsia"/>
                <w:kern w:val="0"/>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F6E4A5F">
            <w:pPr>
              <w:autoSpaceDE w:val="0"/>
              <w:autoSpaceDN w:val="0"/>
              <w:adjustRightInd w:val="0"/>
              <w:ind w:leftChars="-6" w:right="-20" w:hanging="13" w:hangingChars="6"/>
              <w:jc w:val="center"/>
              <w:rPr>
                <w:rFonts w:hint="eastAsia"/>
                <w:kern w:val="0"/>
              </w:rPr>
            </w:pPr>
            <w:r>
              <w:rPr>
                <w:rFonts w:hint="eastAsia"/>
                <w:kern w:val="0"/>
              </w:rPr>
              <w:t>拟在</w:t>
            </w:r>
            <w:r>
              <w:rPr>
                <w:rFonts w:hint="eastAsia"/>
                <w:spacing w:val="-2"/>
                <w:kern w:val="0"/>
              </w:rPr>
              <w:t>本</w:t>
            </w:r>
            <w:r>
              <w:rPr>
                <w:rFonts w:hint="eastAsia"/>
                <w:kern w:val="0"/>
              </w:rPr>
              <w:t>项</w:t>
            </w:r>
            <w:r>
              <w:rPr>
                <w:rFonts w:hint="eastAsia"/>
                <w:spacing w:val="-2"/>
                <w:kern w:val="0"/>
              </w:rPr>
              <w:t>目</w:t>
            </w:r>
            <w:r>
              <w:rPr>
                <w:rFonts w:hint="eastAsia"/>
                <w:kern w:val="0"/>
              </w:rPr>
              <w:t>任职</w:t>
            </w: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5446D02C">
            <w:pPr>
              <w:autoSpaceDE w:val="0"/>
              <w:autoSpaceDN w:val="0"/>
              <w:adjustRightInd w:val="0"/>
              <w:jc w:val="center"/>
              <w:rPr>
                <w:rFonts w:hint="eastAsia"/>
                <w:kern w:val="0"/>
              </w:rPr>
            </w:pPr>
          </w:p>
        </w:tc>
      </w:tr>
      <w:tr w14:paraId="6DE73CD1">
        <w:tblPrEx>
          <w:tblCellMar>
            <w:top w:w="0" w:type="dxa"/>
            <w:left w:w="0" w:type="dxa"/>
            <w:bottom w:w="0" w:type="dxa"/>
            <w:right w:w="0" w:type="dxa"/>
          </w:tblCellMar>
        </w:tblPrEx>
        <w:trPr>
          <w:trHeight w:val="773" w:hRule="exact"/>
          <w:jc w:val="center"/>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6EBB4CE">
            <w:pPr>
              <w:autoSpaceDE w:val="0"/>
              <w:autoSpaceDN w:val="0"/>
              <w:adjustRightInd w:val="0"/>
              <w:ind w:right="-20"/>
              <w:jc w:val="center"/>
              <w:rPr>
                <w:rFonts w:hint="eastAsia"/>
                <w:kern w:val="0"/>
              </w:rPr>
            </w:pPr>
            <w:r>
              <w:rPr>
                <w:rFonts w:hint="eastAsia"/>
                <w:kern w:val="0"/>
              </w:rPr>
              <w:t>工作</w:t>
            </w:r>
            <w:r>
              <w:rPr>
                <w:rFonts w:hint="eastAsia"/>
                <w:spacing w:val="-2"/>
                <w:kern w:val="0"/>
              </w:rPr>
              <w:t>年</w:t>
            </w:r>
            <w:r>
              <w:rPr>
                <w:rFonts w:hint="eastAsia"/>
                <w:kern w:val="0"/>
              </w:rPr>
              <w:t>限</w:t>
            </w:r>
          </w:p>
        </w:tc>
        <w:tc>
          <w:tcPr>
            <w:tcW w:w="3144" w:type="dxa"/>
            <w:gridSpan w:val="4"/>
            <w:tcBorders>
              <w:top w:val="single" w:color="000000" w:sz="4" w:space="0"/>
              <w:left w:val="single" w:color="000000" w:sz="4" w:space="0"/>
              <w:bottom w:val="single" w:color="000000" w:sz="4" w:space="0"/>
              <w:right w:val="single" w:color="000000" w:sz="4" w:space="0"/>
            </w:tcBorders>
            <w:noWrap w:val="0"/>
            <w:vAlign w:val="center"/>
          </w:tcPr>
          <w:p w14:paraId="3848F28C">
            <w:pPr>
              <w:autoSpaceDE w:val="0"/>
              <w:autoSpaceDN w:val="0"/>
              <w:adjustRightInd w:val="0"/>
              <w:jc w:val="center"/>
              <w:rPr>
                <w:rFonts w:hint="eastAsia"/>
                <w:kern w:val="0"/>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055F003">
            <w:pPr>
              <w:autoSpaceDE w:val="0"/>
              <w:autoSpaceDN w:val="0"/>
              <w:adjustRightInd w:val="0"/>
              <w:ind w:right="-20"/>
              <w:jc w:val="center"/>
              <w:rPr>
                <w:rFonts w:hint="eastAsia"/>
                <w:kern w:val="0"/>
              </w:rPr>
            </w:pPr>
            <w:r>
              <w:rPr>
                <w:rFonts w:hint="eastAsia"/>
                <w:spacing w:val="-2"/>
                <w:kern w:val="0"/>
              </w:rPr>
              <w:t>工</w:t>
            </w:r>
            <w:r>
              <w:rPr>
                <w:rFonts w:hint="eastAsia"/>
                <w:kern w:val="0"/>
              </w:rPr>
              <w:t>作</w:t>
            </w:r>
            <w:r>
              <w:rPr>
                <w:rFonts w:hint="eastAsia"/>
                <w:spacing w:val="-2"/>
                <w:kern w:val="0"/>
              </w:rPr>
              <w:t>年</w:t>
            </w:r>
            <w:r>
              <w:rPr>
                <w:rFonts w:hint="eastAsia"/>
                <w:kern w:val="0"/>
              </w:rPr>
              <w:t>限</w:t>
            </w: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31A300F9">
            <w:pPr>
              <w:autoSpaceDE w:val="0"/>
              <w:autoSpaceDN w:val="0"/>
              <w:adjustRightInd w:val="0"/>
              <w:jc w:val="center"/>
              <w:rPr>
                <w:rFonts w:hint="eastAsia"/>
                <w:kern w:val="0"/>
              </w:rPr>
            </w:pPr>
          </w:p>
        </w:tc>
      </w:tr>
      <w:tr w14:paraId="4C45BAAF">
        <w:tblPrEx>
          <w:tblCellMar>
            <w:top w:w="0" w:type="dxa"/>
            <w:left w:w="0" w:type="dxa"/>
            <w:bottom w:w="0" w:type="dxa"/>
            <w:right w:w="0" w:type="dxa"/>
          </w:tblCellMar>
        </w:tblPrEx>
        <w:trPr>
          <w:trHeight w:val="783" w:hRule="exact"/>
          <w:jc w:val="center"/>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61CF83E">
            <w:pPr>
              <w:autoSpaceDE w:val="0"/>
              <w:autoSpaceDN w:val="0"/>
              <w:adjustRightInd w:val="0"/>
              <w:ind w:right="-20"/>
              <w:jc w:val="center"/>
              <w:rPr>
                <w:rFonts w:hint="eastAsia"/>
                <w:kern w:val="0"/>
              </w:rPr>
            </w:pPr>
            <w:r>
              <w:rPr>
                <w:rFonts w:hint="eastAsia"/>
                <w:kern w:val="0"/>
              </w:rPr>
              <w:t>毕业</w:t>
            </w:r>
            <w:r>
              <w:rPr>
                <w:rFonts w:hint="eastAsia"/>
                <w:spacing w:val="-2"/>
                <w:kern w:val="0"/>
              </w:rPr>
              <w:t>学</w:t>
            </w:r>
            <w:r>
              <w:rPr>
                <w:rFonts w:hint="eastAsia"/>
                <w:kern w:val="0"/>
              </w:rPr>
              <w:t>校</w:t>
            </w:r>
          </w:p>
        </w:tc>
        <w:tc>
          <w:tcPr>
            <w:tcW w:w="7506" w:type="dxa"/>
            <w:gridSpan w:val="8"/>
            <w:tcBorders>
              <w:top w:val="single" w:color="000000" w:sz="4" w:space="0"/>
              <w:left w:val="single" w:color="000000" w:sz="4" w:space="0"/>
              <w:bottom w:val="single" w:color="000000" w:sz="4" w:space="0"/>
              <w:right w:val="single" w:color="000000" w:sz="4" w:space="0"/>
            </w:tcBorders>
            <w:noWrap w:val="0"/>
            <w:vAlign w:val="center"/>
          </w:tcPr>
          <w:p w14:paraId="25598389">
            <w:pPr>
              <w:tabs>
                <w:tab w:val="left" w:pos="3340"/>
                <w:tab w:val="left" w:pos="4620"/>
              </w:tabs>
              <w:autoSpaceDE w:val="0"/>
              <w:autoSpaceDN w:val="0"/>
              <w:adjustRightInd w:val="0"/>
              <w:ind w:right="-20"/>
              <w:jc w:val="center"/>
              <w:rPr>
                <w:rFonts w:hint="eastAsia"/>
                <w:kern w:val="0"/>
              </w:rPr>
            </w:pPr>
            <w:r>
              <w:rPr>
                <w:rFonts w:hint="eastAsia"/>
                <w:kern w:val="0"/>
              </w:rPr>
              <w:t>年毕</w:t>
            </w:r>
            <w:r>
              <w:rPr>
                <w:rFonts w:hint="eastAsia"/>
                <w:spacing w:val="-2"/>
                <w:kern w:val="0"/>
              </w:rPr>
              <w:t>业</w:t>
            </w:r>
            <w:r>
              <w:rPr>
                <w:rFonts w:hint="eastAsia"/>
                <w:kern w:val="0"/>
              </w:rPr>
              <w:t>于</w:t>
            </w:r>
            <w:r>
              <w:rPr>
                <w:rFonts w:hint="eastAsia"/>
                <w:kern w:val="0"/>
              </w:rPr>
              <w:tab/>
            </w:r>
            <w:r>
              <w:rPr>
                <w:rFonts w:hint="eastAsia"/>
                <w:spacing w:val="-2"/>
                <w:kern w:val="0"/>
              </w:rPr>
              <w:t>学</w:t>
            </w:r>
            <w:r>
              <w:rPr>
                <w:rFonts w:hint="eastAsia"/>
                <w:kern w:val="0"/>
              </w:rPr>
              <w:t>校</w:t>
            </w:r>
            <w:r>
              <w:rPr>
                <w:rFonts w:hint="eastAsia"/>
                <w:kern w:val="0"/>
              </w:rPr>
              <w:tab/>
            </w:r>
            <w:r>
              <w:rPr>
                <w:rFonts w:hint="eastAsia"/>
                <w:kern w:val="0"/>
              </w:rPr>
              <w:t>专业</w:t>
            </w:r>
          </w:p>
        </w:tc>
      </w:tr>
      <w:tr w14:paraId="462D8196">
        <w:tblPrEx>
          <w:tblCellMar>
            <w:top w:w="0" w:type="dxa"/>
            <w:left w:w="0" w:type="dxa"/>
            <w:bottom w:w="0" w:type="dxa"/>
            <w:right w:w="0" w:type="dxa"/>
          </w:tblCellMar>
        </w:tblPrEx>
        <w:trPr>
          <w:trHeight w:val="765" w:hRule="exact"/>
          <w:jc w:val="center"/>
        </w:trPr>
        <w:tc>
          <w:tcPr>
            <w:tcW w:w="8718" w:type="dxa"/>
            <w:gridSpan w:val="9"/>
            <w:tcBorders>
              <w:top w:val="single" w:color="000000" w:sz="4" w:space="0"/>
              <w:left w:val="single" w:color="000000" w:sz="4" w:space="0"/>
              <w:bottom w:val="single" w:color="000000" w:sz="4" w:space="0"/>
              <w:right w:val="single" w:color="000000" w:sz="4" w:space="0"/>
            </w:tcBorders>
            <w:noWrap w:val="0"/>
            <w:vAlign w:val="center"/>
          </w:tcPr>
          <w:p w14:paraId="7E045BD0">
            <w:pPr>
              <w:autoSpaceDE w:val="0"/>
              <w:autoSpaceDN w:val="0"/>
              <w:adjustRightInd w:val="0"/>
              <w:ind w:right="-20"/>
              <w:jc w:val="center"/>
              <w:rPr>
                <w:rFonts w:hint="eastAsia"/>
                <w:kern w:val="0"/>
              </w:rPr>
            </w:pPr>
            <w:r>
              <w:rPr>
                <w:rFonts w:hint="eastAsia"/>
                <w:kern w:val="0"/>
              </w:rPr>
              <w:t>主要</w:t>
            </w:r>
            <w:r>
              <w:rPr>
                <w:rFonts w:hint="eastAsia"/>
                <w:spacing w:val="-2"/>
                <w:kern w:val="0"/>
              </w:rPr>
              <w:t>工</w:t>
            </w:r>
            <w:r>
              <w:rPr>
                <w:rFonts w:hint="eastAsia"/>
                <w:kern w:val="0"/>
              </w:rPr>
              <w:t>作</w:t>
            </w:r>
            <w:r>
              <w:rPr>
                <w:rFonts w:hint="eastAsia"/>
                <w:spacing w:val="-2"/>
                <w:kern w:val="0"/>
              </w:rPr>
              <w:t>经</w:t>
            </w:r>
            <w:r>
              <w:rPr>
                <w:rFonts w:hint="eastAsia"/>
                <w:kern w:val="0"/>
              </w:rPr>
              <w:t>历</w:t>
            </w:r>
          </w:p>
        </w:tc>
      </w:tr>
      <w:tr w14:paraId="70F7E23D">
        <w:tblPrEx>
          <w:tblCellMar>
            <w:top w:w="0" w:type="dxa"/>
            <w:left w:w="0" w:type="dxa"/>
            <w:bottom w:w="0" w:type="dxa"/>
            <w:right w:w="0" w:type="dxa"/>
          </w:tblCellMar>
        </w:tblPrEx>
        <w:trPr>
          <w:trHeight w:val="792"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2A6E272F">
            <w:pPr>
              <w:tabs>
                <w:tab w:val="left" w:pos="860"/>
              </w:tabs>
              <w:autoSpaceDE w:val="0"/>
              <w:autoSpaceDN w:val="0"/>
              <w:adjustRightInd w:val="0"/>
              <w:ind w:right="-20"/>
              <w:jc w:val="center"/>
              <w:rPr>
                <w:rFonts w:hint="eastAsia"/>
                <w:kern w:val="0"/>
              </w:rPr>
            </w:pPr>
            <w:r>
              <w:rPr>
                <w:rFonts w:hint="eastAsia"/>
                <w:kern w:val="0"/>
              </w:rPr>
              <w:t>时</w:t>
            </w:r>
            <w:r>
              <w:rPr>
                <w:rFonts w:hint="eastAsia"/>
                <w:kern w:val="0"/>
              </w:rPr>
              <w:tab/>
            </w:r>
            <w:r>
              <w:rPr>
                <w:rFonts w:hint="eastAsia"/>
                <w:kern w:val="0"/>
              </w:rPr>
              <w:t>间</w:t>
            </w: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49379096">
            <w:pPr>
              <w:autoSpaceDE w:val="0"/>
              <w:autoSpaceDN w:val="0"/>
              <w:adjustRightInd w:val="0"/>
              <w:ind w:right="-20"/>
              <w:jc w:val="center"/>
              <w:rPr>
                <w:rFonts w:hint="eastAsia"/>
                <w:kern w:val="0"/>
              </w:rPr>
            </w:pPr>
            <w:r>
              <w:rPr>
                <w:rFonts w:hint="eastAsia"/>
                <w:kern w:val="0"/>
              </w:rPr>
              <w:t>参加</w:t>
            </w:r>
            <w:r>
              <w:rPr>
                <w:rFonts w:hint="eastAsia"/>
                <w:spacing w:val="-2"/>
                <w:kern w:val="0"/>
              </w:rPr>
              <w:t>过</w:t>
            </w:r>
            <w:r>
              <w:rPr>
                <w:rFonts w:hint="eastAsia"/>
                <w:kern w:val="0"/>
              </w:rPr>
              <w:t>的</w:t>
            </w:r>
            <w:r>
              <w:rPr>
                <w:rFonts w:hint="eastAsia"/>
                <w:spacing w:val="-2"/>
                <w:kern w:val="0"/>
              </w:rPr>
              <w:t>类</w:t>
            </w:r>
            <w:r>
              <w:rPr>
                <w:rFonts w:hint="eastAsia"/>
                <w:kern w:val="0"/>
              </w:rPr>
              <w:t>似</w:t>
            </w:r>
            <w:r>
              <w:rPr>
                <w:rFonts w:hint="eastAsia"/>
                <w:spacing w:val="-2"/>
                <w:kern w:val="0"/>
              </w:rPr>
              <w:t>项</w:t>
            </w:r>
            <w:r>
              <w:rPr>
                <w:rFonts w:hint="eastAsia"/>
                <w:kern w:val="0"/>
              </w:rPr>
              <w:t>目</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E7B340F">
            <w:pPr>
              <w:autoSpaceDE w:val="0"/>
              <w:autoSpaceDN w:val="0"/>
              <w:adjustRightInd w:val="0"/>
              <w:ind w:right="-20"/>
              <w:jc w:val="center"/>
              <w:rPr>
                <w:rFonts w:hint="eastAsia"/>
                <w:kern w:val="0"/>
              </w:rPr>
            </w:pPr>
            <w:r>
              <w:rPr>
                <w:rFonts w:hint="eastAsia"/>
                <w:kern w:val="0"/>
              </w:rPr>
              <w:t>担任</w:t>
            </w:r>
            <w:r>
              <w:rPr>
                <w:rFonts w:hint="eastAsia"/>
                <w:spacing w:val="-2"/>
                <w:kern w:val="0"/>
              </w:rPr>
              <w:t>职</w:t>
            </w:r>
            <w:r>
              <w:rPr>
                <w:rFonts w:hint="eastAsia"/>
                <w:kern w:val="0"/>
              </w:rPr>
              <w:t>务</w:t>
            </w: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77FFA501">
            <w:pPr>
              <w:autoSpaceDE w:val="0"/>
              <w:autoSpaceDN w:val="0"/>
              <w:adjustRightInd w:val="0"/>
              <w:ind w:right="-20"/>
              <w:jc w:val="center"/>
              <w:rPr>
                <w:rFonts w:hint="eastAsia"/>
                <w:kern w:val="0"/>
              </w:rPr>
            </w:pPr>
            <w:r>
              <w:rPr>
                <w:rFonts w:hint="eastAsia"/>
                <w:kern w:val="0"/>
              </w:rPr>
              <w:t>委托人及</w:t>
            </w:r>
            <w:r>
              <w:rPr>
                <w:rFonts w:hint="eastAsia"/>
                <w:spacing w:val="-2"/>
                <w:kern w:val="0"/>
              </w:rPr>
              <w:t>联</w:t>
            </w:r>
            <w:r>
              <w:rPr>
                <w:rFonts w:hint="eastAsia"/>
                <w:kern w:val="0"/>
              </w:rPr>
              <w:t>系</w:t>
            </w:r>
            <w:r>
              <w:rPr>
                <w:rFonts w:hint="eastAsia"/>
                <w:spacing w:val="-2"/>
                <w:kern w:val="0"/>
              </w:rPr>
              <w:t>电</w:t>
            </w:r>
            <w:r>
              <w:rPr>
                <w:rFonts w:hint="eastAsia"/>
                <w:kern w:val="0"/>
              </w:rPr>
              <w:t>话</w:t>
            </w:r>
          </w:p>
        </w:tc>
      </w:tr>
      <w:tr w14:paraId="2B3F08DB">
        <w:tblPrEx>
          <w:tblCellMar>
            <w:top w:w="0" w:type="dxa"/>
            <w:left w:w="0" w:type="dxa"/>
            <w:bottom w:w="0" w:type="dxa"/>
            <w:right w:w="0" w:type="dxa"/>
          </w:tblCellMar>
        </w:tblPrEx>
        <w:trPr>
          <w:trHeight w:val="773"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38DDDA4F">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2C023B95">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5CE5666">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6F86D681">
            <w:pPr>
              <w:autoSpaceDE w:val="0"/>
              <w:autoSpaceDN w:val="0"/>
              <w:adjustRightInd w:val="0"/>
              <w:jc w:val="center"/>
              <w:rPr>
                <w:rFonts w:hint="eastAsia"/>
                <w:kern w:val="0"/>
              </w:rPr>
            </w:pPr>
          </w:p>
        </w:tc>
      </w:tr>
      <w:tr w14:paraId="2584313A">
        <w:tblPrEx>
          <w:tblCellMar>
            <w:top w:w="0" w:type="dxa"/>
            <w:left w:w="0" w:type="dxa"/>
            <w:bottom w:w="0" w:type="dxa"/>
            <w:right w:w="0" w:type="dxa"/>
          </w:tblCellMar>
        </w:tblPrEx>
        <w:trPr>
          <w:trHeight w:val="770"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28C5E26B">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6FD037A2">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220D416">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3DB11D8F">
            <w:pPr>
              <w:autoSpaceDE w:val="0"/>
              <w:autoSpaceDN w:val="0"/>
              <w:adjustRightInd w:val="0"/>
              <w:jc w:val="center"/>
              <w:rPr>
                <w:rFonts w:hint="eastAsia"/>
                <w:kern w:val="0"/>
              </w:rPr>
            </w:pPr>
          </w:p>
        </w:tc>
      </w:tr>
      <w:tr w14:paraId="1B93F468">
        <w:tblPrEx>
          <w:tblCellMar>
            <w:top w:w="0" w:type="dxa"/>
            <w:left w:w="0" w:type="dxa"/>
            <w:bottom w:w="0" w:type="dxa"/>
            <w:right w:w="0" w:type="dxa"/>
          </w:tblCellMar>
        </w:tblPrEx>
        <w:trPr>
          <w:trHeight w:val="773"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3F9945EF">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78368510">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3807F20">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760D7832">
            <w:pPr>
              <w:autoSpaceDE w:val="0"/>
              <w:autoSpaceDN w:val="0"/>
              <w:adjustRightInd w:val="0"/>
              <w:jc w:val="center"/>
              <w:rPr>
                <w:rFonts w:hint="eastAsia"/>
                <w:kern w:val="0"/>
              </w:rPr>
            </w:pPr>
          </w:p>
        </w:tc>
      </w:tr>
      <w:tr w14:paraId="73F91FA3">
        <w:tblPrEx>
          <w:tblCellMar>
            <w:top w:w="0" w:type="dxa"/>
            <w:left w:w="0" w:type="dxa"/>
            <w:bottom w:w="0" w:type="dxa"/>
            <w:right w:w="0" w:type="dxa"/>
          </w:tblCellMar>
        </w:tblPrEx>
        <w:trPr>
          <w:trHeight w:val="773"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7A856980">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40007227">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32F1BE2">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245588E1">
            <w:pPr>
              <w:autoSpaceDE w:val="0"/>
              <w:autoSpaceDN w:val="0"/>
              <w:adjustRightInd w:val="0"/>
              <w:jc w:val="center"/>
              <w:rPr>
                <w:rFonts w:hint="eastAsia"/>
                <w:kern w:val="0"/>
              </w:rPr>
            </w:pPr>
          </w:p>
        </w:tc>
      </w:tr>
      <w:tr w14:paraId="4E37F32D">
        <w:tblPrEx>
          <w:tblCellMar>
            <w:top w:w="0" w:type="dxa"/>
            <w:left w:w="0" w:type="dxa"/>
            <w:bottom w:w="0" w:type="dxa"/>
            <w:right w:w="0" w:type="dxa"/>
          </w:tblCellMar>
        </w:tblPrEx>
        <w:trPr>
          <w:trHeight w:val="771"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245CCBFD">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3F744472">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68B41E5">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26FA1C8D">
            <w:pPr>
              <w:autoSpaceDE w:val="0"/>
              <w:autoSpaceDN w:val="0"/>
              <w:adjustRightInd w:val="0"/>
              <w:jc w:val="center"/>
              <w:rPr>
                <w:rFonts w:hint="eastAsia"/>
                <w:kern w:val="0"/>
              </w:rPr>
            </w:pPr>
          </w:p>
        </w:tc>
      </w:tr>
      <w:tr w14:paraId="4316BE19">
        <w:tblPrEx>
          <w:tblCellMar>
            <w:top w:w="0" w:type="dxa"/>
            <w:left w:w="0" w:type="dxa"/>
            <w:bottom w:w="0" w:type="dxa"/>
            <w:right w:w="0" w:type="dxa"/>
          </w:tblCellMar>
        </w:tblPrEx>
        <w:trPr>
          <w:trHeight w:val="773"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21906597">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230479BF">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325BC98">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6F3E114E">
            <w:pPr>
              <w:autoSpaceDE w:val="0"/>
              <w:autoSpaceDN w:val="0"/>
              <w:adjustRightInd w:val="0"/>
              <w:jc w:val="center"/>
              <w:rPr>
                <w:rFonts w:hint="eastAsia"/>
                <w:kern w:val="0"/>
              </w:rPr>
            </w:pPr>
          </w:p>
        </w:tc>
      </w:tr>
      <w:tr w14:paraId="7F2ACD06">
        <w:tblPrEx>
          <w:tblCellMar>
            <w:top w:w="0" w:type="dxa"/>
            <w:left w:w="0" w:type="dxa"/>
            <w:bottom w:w="0" w:type="dxa"/>
            <w:right w:w="0" w:type="dxa"/>
          </w:tblCellMar>
        </w:tblPrEx>
        <w:trPr>
          <w:trHeight w:val="773"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5DC18684">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0DF24F2E">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60D3FFD">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63240E97">
            <w:pPr>
              <w:autoSpaceDE w:val="0"/>
              <w:autoSpaceDN w:val="0"/>
              <w:adjustRightInd w:val="0"/>
              <w:jc w:val="center"/>
              <w:rPr>
                <w:rFonts w:hint="eastAsia"/>
                <w:kern w:val="0"/>
              </w:rPr>
            </w:pPr>
          </w:p>
        </w:tc>
      </w:tr>
    </w:tbl>
    <w:p w14:paraId="6FE702CE">
      <w:pPr>
        <w:autoSpaceDE w:val="0"/>
        <w:autoSpaceDN w:val="0"/>
        <w:adjustRightInd w:val="0"/>
        <w:spacing w:line="110" w:lineRule="exact"/>
        <w:jc w:val="left"/>
        <w:rPr>
          <w:rFonts w:hint="eastAsia"/>
          <w:kern w:val="0"/>
        </w:rPr>
      </w:pPr>
    </w:p>
    <w:p w14:paraId="6206EF94">
      <w:pPr>
        <w:autoSpaceDE w:val="0"/>
        <w:autoSpaceDN w:val="0"/>
        <w:adjustRightInd w:val="0"/>
        <w:spacing w:line="296" w:lineRule="exact"/>
        <w:ind w:right="-20"/>
        <w:jc w:val="left"/>
        <w:rPr>
          <w:rFonts w:hint="eastAsia"/>
          <w:kern w:val="0"/>
        </w:rPr>
      </w:pPr>
      <w:bookmarkStart w:id="177" w:name="_Toc499047109"/>
      <w:r>
        <w:rPr>
          <w:rFonts w:hint="eastAsia"/>
          <w:kern w:val="0"/>
        </w:rPr>
        <w:t>注：</w:t>
      </w:r>
      <w:r>
        <w:rPr>
          <w:rFonts w:hint="eastAsia"/>
          <w:spacing w:val="-2"/>
          <w:kern w:val="0"/>
        </w:rPr>
        <w:t>供应商</w:t>
      </w:r>
      <w:r>
        <w:rPr>
          <w:rFonts w:hint="eastAsia"/>
          <w:kern w:val="0"/>
        </w:rPr>
        <w:t>应</w:t>
      </w:r>
      <w:r>
        <w:rPr>
          <w:rFonts w:hint="eastAsia"/>
          <w:spacing w:val="-2"/>
          <w:kern w:val="0"/>
        </w:rPr>
        <w:t>根</w:t>
      </w:r>
      <w:r>
        <w:rPr>
          <w:rFonts w:hint="eastAsia"/>
          <w:kern w:val="0"/>
        </w:rPr>
        <w:t>据</w:t>
      </w:r>
      <w:r>
        <w:rPr>
          <w:rFonts w:hint="eastAsia"/>
          <w:spacing w:val="-2"/>
          <w:kern w:val="0"/>
        </w:rPr>
        <w:t>评审办法前附表评审标准</w:t>
      </w:r>
      <w:r>
        <w:rPr>
          <w:rFonts w:hint="eastAsia"/>
          <w:kern w:val="0"/>
        </w:rPr>
        <w:t>的</w:t>
      </w:r>
      <w:r>
        <w:rPr>
          <w:rFonts w:hint="eastAsia"/>
          <w:spacing w:val="-2"/>
          <w:kern w:val="0"/>
        </w:rPr>
        <w:t>要</w:t>
      </w:r>
      <w:r>
        <w:rPr>
          <w:rFonts w:hint="eastAsia"/>
          <w:kern w:val="0"/>
        </w:rPr>
        <w:t>求</w:t>
      </w:r>
      <w:r>
        <w:rPr>
          <w:rFonts w:hint="eastAsia"/>
          <w:spacing w:val="-2"/>
          <w:kern w:val="0"/>
        </w:rPr>
        <w:t>在本</w:t>
      </w:r>
      <w:r>
        <w:rPr>
          <w:rFonts w:hint="eastAsia"/>
          <w:kern w:val="0"/>
        </w:rPr>
        <w:t>表后</w:t>
      </w:r>
      <w:r>
        <w:rPr>
          <w:rFonts w:hint="eastAsia"/>
          <w:spacing w:val="-2"/>
          <w:kern w:val="0"/>
        </w:rPr>
        <w:t>附</w:t>
      </w:r>
      <w:r>
        <w:rPr>
          <w:rFonts w:hint="eastAsia"/>
          <w:kern w:val="0"/>
        </w:rPr>
        <w:t>相</w:t>
      </w:r>
      <w:r>
        <w:rPr>
          <w:rFonts w:hint="eastAsia"/>
          <w:spacing w:val="-2"/>
          <w:kern w:val="0"/>
        </w:rPr>
        <w:t>关</w:t>
      </w:r>
      <w:r>
        <w:rPr>
          <w:rFonts w:hint="eastAsia"/>
          <w:kern w:val="0"/>
        </w:rPr>
        <w:t>证</w:t>
      </w:r>
      <w:r>
        <w:rPr>
          <w:rFonts w:hint="eastAsia"/>
          <w:spacing w:val="-2"/>
          <w:kern w:val="0"/>
        </w:rPr>
        <w:t>明</w:t>
      </w:r>
      <w:r>
        <w:rPr>
          <w:rFonts w:hint="eastAsia"/>
          <w:kern w:val="0"/>
        </w:rPr>
        <w:t>材</w:t>
      </w:r>
      <w:r>
        <w:rPr>
          <w:rFonts w:hint="eastAsia"/>
          <w:spacing w:val="-2"/>
          <w:kern w:val="0"/>
        </w:rPr>
        <w:t>料</w:t>
      </w:r>
      <w:r>
        <w:rPr>
          <w:rFonts w:hint="eastAsia"/>
          <w:kern w:val="0"/>
        </w:rPr>
        <w:t>。</w:t>
      </w:r>
    </w:p>
    <w:bookmarkEnd w:id="177"/>
    <w:p w14:paraId="2F268761">
      <w:pPr>
        <w:pStyle w:val="11"/>
        <w:spacing w:before="6" w:line="360" w:lineRule="auto"/>
        <w:rPr>
          <w:rFonts w:hint="eastAsia" w:ascii="宋体" w:hAnsi="宋体" w:eastAsia="宋体" w:cs="宋体"/>
          <w:color w:val="auto"/>
          <w:sz w:val="9"/>
          <w:highlight w:val="none"/>
          <w:lang w:eastAsia="zh-CN"/>
        </w:rPr>
      </w:pPr>
    </w:p>
    <w:p w14:paraId="6D8C46B0">
      <w:pPr>
        <w:rPr>
          <w:rFonts w:hint="eastAsia" w:cs="宋体"/>
          <w:b/>
          <w:bCs/>
          <w:color w:val="auto"/>
          <w:highlight w:val="none"/>
          <w:lang w:val="en-US" w:eastAsia="zh-CN"/>
        </w:rPr>
      </w:pPr>
      <w:bookmarkStart w:id="178" w:name="十、关于资格的声明函"/>
      <w:bookmarkEnd w:id="178"/>
      <w:bookmarkStart w:id="179" w:name="_Toc15860"/>
      <w:bookmarkStart w:id="180" w:name="_Toc14799"/>
      <w:bookmarkStart w:id="181" w:name="_Toc24463"/>
    </w:p>
    <w:p w14:paraId="4C585178">
      <w:pPr>
        <w:rPr>
          <w:rFonts w:hint="eastAsia" w:cs="宋体"/>
          <w:b/>
          <w:bCs/>
          <w:color w:val="auto"/>
          <w:highlight w:val="none"/>
          <w:lang w:val="en-US" w:eastAsia="zh-CN"/>
        </w:rPr>
      </w:pPr>
      <w:r>
        <w:rPr>
          <w:rFonts w:hint="eastAsia" w:cs="宋体"/>
          <w:b/>
          <w:bCs/>
          <w:color w:val="auto"/>
          <w:highlight w:val="none"/>
          <w:lang w:val="en-US" w:eastAsia="zh-CN"/>
        </w:rPr>
        <w:br w:type="page"/>
      </w:r>
    </w:p>
    <w:p w14:paraId="5820C3BB">
      <w:pPr>
        <w:pStyle w:val="3"/>
        <w:spacing w:line="360" w:lineRule="auto"/>
        <w:ind w:right="1"/>
        <w:jc w:val="center"/>
        <w:outlineLvl w:val="1"/>
        <w:rPr>
          <w:rFonts w:hint="default" w:ascii="宋体" w:hAnsi="宋体" w:eastAsia="宋体" w:cs="宋体"/>
          <w:b/>
          <w:bCs/>
          <w:color w:val="auto"/>
          <w:highlight w:val="none"/>
          <w:lang w:val="en-US" w:eastAsia="zh-CN"/>
        </w:rPr>
      </w:pPr>
      <w:r>
        <w:rPr>
          <w:rFonts w:hint="eastAsia" w:cs="宋体"/>
          <w:b/>
          <w:bCs/>
          <w:color w:val="auto"/>
          <w:highlight w:val="none"/>
          <w:lang w:val="en-US" w:eastAsia="zh-CN"/>
        </w:rPr>
        <w:t>六</w:t>
      </w:r>
      <w:r>
        <w:rPr>
          <w:rFonts w:hint="eastAsia" w:ascii="宋体" w:hAnsi="宋体" w:eastAsia="宋体" w:cs="宋体"/>
          <w:b/>
          <w:bCs/>
          <w:color w:val="auto"/>
          <w:highlight w:val="none"/>
          <w:lang w:eastAsia="zh-CN"/>
        </w:rPr>
        <w:t>、</w:t>
      </w:r>
      <w:bookmarkEnd w:id="179"/>
      <w:bookmarkEnd w:id="180"/>
      <w:bookmarkEnd w:id="181"/>
      <w:bookmarkStart w:id="182" w:name="十一、反商业贿赂承诺书"/>
      <w:bookmarkEnd w:id="182"/>
      <w:r>
        <w:rPr>
          <w:rFonts w:hint="eastAsia" w:cs="宋体"/>
          <w:b/>
          <w:bCs/>
          <w:color w:val="auto"/>
          <w:highlight w:val="none"/>
          <w:lang w:val="en-US" w:eastAsia="zh-CN"/>
        </w:rPr>
        <w:t>技术部分</w:t>
      </w:r>
    </w:p>
    <w:p w14:paraId="3D33A7B5">
      <w:pPr>
        <w:ind w:firstLine="480" w:firstLineChars="200"/>
        <w:rPr>
          <w:rFonts w:hint="eastAsia" w:ascii="宋体" w:hAnsi="宋体" w:eastAsia="宋体" w:cs="宋体"/>
          <w:color w:val="auto"/>
          <w:sz w:val="24"/>
          <w:szCs w:val="24"/>
        </w:rPr>
      </w:pPr>
      <w:bookmarkStart w:id="183" w:name="十二、其他材料"/>
      <w:bookmarkEnd w:id="183"/>
      <w:bookmarkStart w:id="184" w:name="_Toc15946"/>
      <w:bookmarkStart w:id="185" w:name="_Toc10200"/>
      <w:bookmarkStart w:id="186" w:name="_Toc13586"/>
    </w:p>
    <w:p w14:paraId="07EFD99E">
      <w:pPr>
        <w:ind w:firstLine="480" w:firstLineChars="200"/>
        <w:jc w:val="center"/>
        <w:rPr>
          <w:rFonts w:hint="eastAsia" w:ascii="宋体" w:hAnsi="宋体" w:eastAsia="宋体" w:cs="宋体"/>
          <w:color w:val="auto"/>
          <w:sz w:val="24"/>
          <w:szCs w:val="24"/>
        </w:rPr>
      </w:pPr>
    </w:p>
    <w:p w14:paraId="685B8915">
      <w:pPr>
        <w:pStyle w:val="8"/>
        <w:spacing w:line="560" w:lineRule="exact"/>
        <w:ind w:firstLine="480"/>
        <w:jc w:val="center"/>
        <w:rPr>
          <w:rFonts w:hint="default" w:eastAsia="宋体" w:cs="宋体"/>
          <w:b/>
          <w:bCs/>
          <w:color w:val="auto"/>
          <w:sz w:val="24"/>
          <w:szCs w:val="24"/>
          <w:lang w:val="en-US" w:eastAsia="zh-CN"/>
        </w:rPr>
      </w:pPr>
      <w:r>
        <w:rPr>
          <w:rFonts w:hint="eastAsia" w:cs="宋体"/>
          <w:b/>
          <w:bCs/>
          <w:color w:val="auto"/>
          <w:sz w:val="24"/>
          <w:szCs w:val="24"/>
          <w:lang w:val="en-US" w:eastAsia="zh-CN"/>
        </w:rPr>
        <w:t>供应商根据自身情况结合评分办法技术部分拟定</w:t>
      </w:r>
    </w:p>
    <w:p w14:paraId="4F2B61F9">
      <w:pPr>
        <w:pStyle w:val="11"/>
        <w:rPr>
          <w:rFonts w:hint="eastAsia"/>
          <w:lang w:eastAsia="zh-CN"/>
        </w:rPr>
      </w:pPr>
    </w:p>
    <w:p w14:paraId="03483FC6">
      <w:pPr>
        <w:spacing w:before="67" w:line="360" w:lineRule="auto"/>
        <w:ind w:left="8" w:right="1"/>
        <w:outlineLvl w:val="9"/>
        <w:rPr>
          <w:rFonts w:hint="eastAsia" w:ascii="宋体" w:hAnsi="宋体" w:eastAsia="宋体" w:cs="宋体"/>
          <w:b/>
          <w:bCs/>
          <w:color w:val="auto"/>
          <w:highlight w:val="none"/>
          <w:lang w:eastAsia="zh-CN"/>
        </w:rPr>
      </w:pPr>
    </w:p>
    <w:p w14:paraId="569C38F2">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br w:type="page"/>
      </w:r>
    </w:p>
    <w:p w14:paraId="3098987D">
      <w:pPr>
        <w:pStyle w:val="3"/>
        <w:spacing w:before="67" w:line="360" w:lineRule="auto"/>
        <w:ind w:left="8" w:right="1"/>
        <w:jc w:val="center"/>
        <w:outlineLvl w:val="1"/>
        <w:rPr>
          <w:rFonts w:hint="default" w:ascii="宋体" w:hAnsi="宋体" w:eastAsia="宋体" w:cs="宋体"/>
          <w:b/>
          <w:bCs/>
          <w:color w:val="auto"/>
          <w:highlight w:val="none"/>
          <w:lang w:val="en-US" w:eastAsia="zh-CN"/>
        </w:rPr>
      </w:pPr>
      <w:r>
        <w:rPr>
          <w:rFonts w:hint="eastAsia" w:cs="宋体"/>
          <w:b/>
          <w:bCs/>
          <w:color w:val="auto"/>
          <w:highlight w:val="none"/>
          <w:lang w:val="en-US" w:eastAsia="zh-CN"/>
        </w:rPr>
        <w:t>八</w:t>
      </w:r>
      <w:r>
        <w:rPr>
          <w:rFonts w:hint="eastAsia" w:ascii="宋体" w:hAnsi="宋体" w:eastAsia="宋体" w:cs="宋体"/>
          <w:b/>
          <w:bCs/>
          <w:color w:val="auto"/>
          <w:highlight w:val="none"/>
          <w:lang w:eastAsia="zh-CN"/>
        </w:rPr>
        <w:t>、</w:t>
      </w:r>
      <w:bookmarkEnd w:id="184"/>
      <w:bookmarkEnd w:id="185"/>
      <w:bookmarkEnd w:id="186"/>
      <w:r>
        <w:rPr>
          <w:rFonts w:hint="eastAsia" w:cs="宋体"/>
          <w:b/>
          <w:bCs/>
          <w:color w:val="auto"/>
          <w:highlight w:val="none"/>
          <w:lang w:val="en-US" w:eastAsia="zh-CN"/>
        </w:rPr>
        <w:t>综合部分</w:t>
      </w:r>
    </w:p>
    <w:p w14:paraId="7D559EC7">
      <w:pPr>
        <w:pStyle w:val="11"/>
        <w:spacing w:line="360" w:lineRule="auto"/>
        <w:rPr>
          <w:rFonts w:hint="eastAsia" w:ascii="宋体" w:hAnsi="宋体" w:eastAsia="宋体" w:cs="宋体"/>
          <w:b/>
          <w:color w:val="auto"/>
          <w:sz w:val="20"/>
          <w:highlight w:val="none"/>
          <w:lang w:eastAsia="zh-CN"/>
        </w:rPr>
      </w:pPr>
    </w:p>
    <w:p w14:paraId="4FCCBA63">
      <w:pPr>
        <w:pStyle w:val="11"/>
        <w:spacing w:line="360" w:lineRule="auto"/>
        <w:rPr>
          <w:rFonts w:hint="eastAsia" w:ascii="宋体" w:hAnsi="宋体" w:eastAsia="宋体" w:cs="宋体"/>
          <w:b/>
          <w:color w:val="auto"/>
          <w:sz w:val="20"/>
          <w:highlight w:val="none"/>
          <w:lang w:eastAsia="zh-CN"/>
        </w:rPr>
      </w:pPr>
    </w:p>
    <w:p w14:paraId="35347F17">
      <w:pPr>
        <w:spacing w:line="360" w:lineRule="auto"/>
        <w:jc w:val="center"/>
        <w:rPr>
          <w:rFonts w:hint="eastAsia" w:ascii="宋体" w:hAnsi="宋体" w:eastAsia="宋体" w:cs="宋体"/>
          <w:color w:val="auto"/>
          <w:highlight w:val="none"/>
          <w:lang w:eastAsia="zh-CN"/>
        </w:rPr>
        <w:sectPr>
          <w:footerReference r:id="rId9" w:type="default"/>
          <w:pgSz w:w="11910" w:h="16840"/>
          <w:pgMar w:top="1440" w:right="1080" w:bottom="1440" w:left="1080" w:header="878" w:footer="1130" w:gutter="0"/>
          <w:pgNumType w:fmt="decimal"/>
          <w:cols w:space="720" w:num="1"/>
        </w:sectPr>
      </w:pPr>
      <w:r>
        <w:rPr>
          <w:rFonts w:hint="eastAsia" w:ascii="宋体" w:hAnsi="宋体" w:eastAsia="宋体" w:cs="宋体"/>
          <w:b/>
          <w:bCs/>
          <w:color w:val="auto"/>
          <w:sz w:val="22"/>
          <w:szCs w:val="22"/>
          <w:highlight w:val="none"/>
          <w:lang w:eastAsia="zh-CN"/>
        </w:rPr>
        <w:t>供应商需根据自身情况结合评分办法</w:t>
      </w:r>
      <w:r>
        <w:rPr>
          <w:rFonts w:hint="eastAsia" w:ascii="宋体" w:hAnsi="宋体" w:eastAsia="宋体" w:cs="宋体"/>
          <w:b/>
          <w:bCs/>
          <w:color w:val="auto"/>
          <w:sz w:val="22"/>
          <w:szCs w:val="22"/>
          <w:highlight w:val="none"/>
          <w:lang w:val="en-US" w:eastAsia="zh-CN"/>
        </w:rPr>
        <w:t>综合部分</w:t>
      </w:r>
      <w:r>
        <w:rPr>
          <w:rFonts w:hint="eastAsia" w:ascii="宋体" w:hAnsi="宋体" w:eastAsia="宋体" w:cs="宋体"/>
          <w:b/>
          <w:bCs/>
          <w:color w:val="auto"/>
          <w:sz w:val="22"/>
          <w:szCs w:val="22"/>
          <w:highlight w:val="none"/>
          <w:lang w:eastAsia="zh-CN"/>
        </w:rPr>
        <w:t>拟定</w:t>
      </w:r>
    </w:p>
    <w:p w14:paraId="6659B2CA">
      <w:pPr>
        <w:pStyle w:val="11"/>
        <w:spacing w:before="6" w:line="360" w:lineRule="auto"/>
        <w:rPr>
          <w:rFonts w:hint="eastAsia" w:ascii="宋体" w:hAnsi="宋体" w:eastAsia="宋体" w:cs="宋体"/>
          <w:color w:val="auto"/>
          <w:sz w:val="9"/>
          <w:highlight w:val="none"/>
          <w:lang w:eastAsia="zh-CN"/>
        </w:rPr>
      </w:pPr>
    </w:p>
    <w:p w14:paraId="58AC3683">
      <w:pPr>
        <w:pStyle w:val="3"/>
        <w:spacing w:line="360" w:lineRule="auto"/>
        <w:ind w:left="3" w:right="1"/>
        <w:outlineLvl w:val="1"/>
        <w:rPr>
          <w:rFonts w:hint="eastAsia" w:ascii="宋体" w:hAnsi="宋体" w:eastAsia="宋体" w:cs="宋体"/>
          <w:b/>
          <w:bCs/>
          <w:color w:val="auto"/>
          <w:highlight w:val="none"/>
          <w:lang w:eastAsia="zh-CN"/>
        </w:rPr>
      </w:pPr>
      <w:bookmarkStart w:id="187" w:name="（二）残疾人福利性单位声明函"/>
      <w:bookmarkEnd w:id="187"/>
      <w:bookmarkStart w:id="188" w:name="_Toc20143"/>
      <w:bookmarkStart w:id="189" w:name="_Toc20425"/>
      <w:bookmarkStart w:id="190" w:name="_Toc1609"/>
      <w:r>
        <w:rPr>
          <w:rFonts w:hint="eastAsia" w:cs="宋体"/>
          <w:b/>
          <w:bCs/>
          <w:color w:val="auto"/>
          <w:highlight w:val="none"/>
          <w:lang w:val="en-US" w:eastAsia="zh-CN"/>
        </w:rPr>
        <w:t>九</w:t>
      </w:r>
      <w:r>
        <w:rPr>
          <w:rFonts w:hint="eastAsia" w:ascii="宋体" w:hAnsi="宋体" w:eastAsia="宋体" w:cs="宋体"/>
          <w:b/>
          <w:bCs/>
          <w:color w:val="auto"/>
          <w:highlight w:val="none"/>
          <w:lang w:eastAsia="zh-CN"/>
        </w:rPr>
        <w:t>、其他材料</w:t>
      </w:r>
      <w:bookmarkEnd w:id="188"/>
      <w:bookmarkEnd w:id="189"/>
      <w:bookmarkEnd w:id="190"/>
    </w:p>
    <w:p w14:paraId="7B946326">
      <w:pPr>
        <w:pStyle w:val="4"/>
        <w:spacing w:before="110" w:line="360" w:lineRule="auto"/>
        <w:ind w:left="8" w:right="1"/>
        <w:outlineLvl w:val="2"/>
        <w:rPr>
          <w:rFonts w:hint="eastAsia" w:ascii="宋体" w:hAnsi="宋体" w:eastAsia="宋体" w:cs="宋体"/>
          <w:color w:val="auto"/>
          <w:highlight w:val="none"/>
          <w:lang w:eastAsia="zh-CN"/>
        </w:rPr>
      </w:pPr>
      <w:bookmarkStart w:id="191" w:name="（一）中小微企业声明函"/>
      <w:bookmarkEnd w:id="191"/>
      <w:bookmarkStart w:id="192" w:name="_Toc11090"/>
      <w:bookmarkStart w:id="193" w:name="_Toc5668"/>
      <w:bookmarkStart w:id="194" w:name="_Toc21310"/>
      <w:r>
        <w:rPr>
          <w:rFonts w:hint="eastAsia" w:ascii="宋体" w:hAnsi="宋体" w:eastAsia="宋体" w:cs="宋体"/>
          <w:color w:val="auto"/>
          <w:highlight w:val="none"/>
          <w:lang w:eastAsia="zh-CN"/>
        </w:rPr>
        <w:t>（一）中小微企业声明函</w:t>
      </w:r>
      <w:bookmarkEnd w:id="192"/>
      <w:bookmarkEnd w:id="193"/>
      <w:bookmarkEnd w:id="194"/>
    </w:p>
    <w:p w14:paraId="4698ABDC">
      <w:pPr>
        <w:pStyle w:val="11"/>
        <w:spacing w:before="189" w:line="360" w:lineRule="auto"/>
        <w:ind w:left="419" w:right="1"/>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（属于中小微企业的填写，不属于的无需填写此项内容）</w:t>
      </w:r>
    </w:p>
    <w:p w14:paraId="37BF1E44">
      <w:pPr>
        <w:jc w:val="center"/>
        <w:rPr>
          <w:rFonts w:hint="eastAsia" w:ascii="宋体" w:hAnsi="宋体" w:eastAsia="宋体" w:cs="宋体"/>
          <w:sz w:val="22"/>
          <w:szCs w:val="22"/>
        </w:rPr>
      </w:pPr>
      <w:bookmarkStart w:id="195" w:name="_Toc27320"/>
      <w:bookmarkStart w:id="196" w:name="_Toc23899"/>
      <w:bookmarkStart w:id="197" w:name="_Toc15800"/>
    </w:p>
    <w:p w14:paraId="04617D19">
      <w:pPr>
        <w:jc w:val="center"/>
        <w:rPr>
          <w:rFonts w:hint="eastAsia" w:ascii="宋体" w:hAnsi="宋体" w:eastAsia="宋体" w:cs="宋体"/>
          <w:sz w:val="22"/>
          <w:szCs w:val="22"/>
        </w:rPr>
      </w:pPr>
      <w:r>
        <w:rPr>
          <w:rFonts w:hint="eastAsia" w:ascii="宋体" w:hAnsi="宋体" w:eastAsia="宋体" w:cs="宋体"/>
          <w:sz w:val="22"/>
          <w:szCs w:val="22"/>
        </w:rPr>
        <w:t>中小企业声明函（工程、服务）</w:t>
      </w:r>
    </w:p>
    <w:p w14:paraId="13734A57">
      <w:pPr>
        <w:rPr>
          <w:rFonts w:hint="eastAsia" w:ascii="宋体" w:hAnsi="宋体" w:eastAsia="宋体" w:cs="宋体"/>
          <w:sz w:val="22"/>
          <w:szCs w:val="22"/>
        </w:rPr>
      </w:pPr>
    </w:p>
    <w:p w14:paraId="3E1D380A">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57E2BCAA">
      <w:pPr>
        <w:numPr>
          <w:ilvl w:val="0"/>
          <w:numId w:val="4"/>
        </w:numPr>
        <w:spacing w:line="360" w:lineRule="auto"/>
        <w:ind w:firstLine="440" w:firstLineChars="200"/>
        <w:rPr>
          <w:rFonts w:hint="eastAsia" w:ascii="宋体" w:hAnsi="宋体" w:eastAsia="宋体" w:cs="宋体"/>
          <w:sz w:val="22"/>
          <w:szCs w:val="22"/>
        </w:rPr>
      </w:pPr>
      <w:r>
        <w:rPr>
          <w:rFonts w:hint="eastAsia" w:ascii="宋体" w:hAnsi="宋体" w:eastAsia="宋体" w:cs="宋体"/>
          <w:i/>
          <w:iCs/>
          <w:sz w:val="22"/>
          <w:szCs w:val="22"/>
          <w:u w:val="single"/>
        </w:rPr>
        <w:t>（标的名称）</w:t>
      </w:r>
      <w:r>
        <w:rPr>
          <w:rFonts w:hint="eastAsia" w:ascii="宋体" w:hAnsi="宋体" w:eastAsia="宋体" w:cs="宋体"/>
          <w:sz w:val="22"/>
          <w:szCs w:val="22"/>
        </w:rPr>
        <w:t>，属于</w:t>
      </w:r>
      <w:r>
        <w:rPr>
          <w:rFonts w:hint="eastAsia" w:ascii="宋体" w:hAnsi="宋体" w:eastAsia="宋体" w:cs="宋体"/>
          <w:i/>
          <w:iCs/>
          <w:sz w:val="22"/>
          <w:szCs w:val="22"/>
          <w:u w:val="single"/>
        </w:rPr>
        <w:t>（采购文件中明确的所属行业）</w:t>
      </w:r>
      <w:r>
        <w:rPr>
          <w:rFonts w:hint="eastAsia" w:ascii="宋体" w:hAnsi="宋体" w:eastAsia="宋体" w:cs="宋体"/>
          <w:sz w:val="22"/>
          <w:szCs w:val="22"/>
        </w:rPr>
        <w:t>；承建（承接）企业为</w:t>
      </w:r>
      <w:r>
        <w:rPr>
          <w:rFonts w:hint="eastAsia" w:ascii="宋体" w:hAnsi="宋体" w:eastAsia="宋体" w:cs="宋体"/>
          <w:i/>
          <w:iCs/>
          <w:sz w:val="22"/>
          <w:szCs w:val="22"/>
          <w:u w:val="single"/>
        </w:rPr>
        <w:t>（企业名称）</w:t>
      </w:r>
      <w:r>
        <w:rPr>
          <w:rFonts w:hint="eastAsia" w:ascii="宋体" w:hAnsi="宋体" w:eastAsia="宋体" w:cs="宋体"/>
          <w:sz w:val="22"/>
          <w:szCs w:val="22"/>
        </w:rPr>
        <w:t>，从业人员</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ab/>
      </w:r>
      <w:r>
        <w:rPr>
          <w:rFonts w:hint="eastAsia" w:ascii="宋体" w:hAnsi="宋体" w:eastAsia="宋体" w:cs="宋体"/>
          <w:sz w:val="22"/>
          <w:szCs w:val="22"/>
        </w:rPr>
        <w:t>人，营业收入为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ab/>
      </w:r>
      <w:r>
        <w:rPr>
          <w:rFonts w:hint="eastAsia" w:ascii="宋体" w:hAnsi="宋体" w:eastAsia="宋体" w:cs="宋体"/>
          <w:sz w:val="22"/>
          <w:szCs w:val="22"/>
        </w:rPr>
        <w:t>万元，资产总额为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ab/>
      </w:r>
      <w:r>
        <w:rPr>
          <w:rFonts w:hint="eastAsia" w:ascii="宋体" w:hAnsi="宋体" w:eastAsia="宋体" w:cs="宋体"/>
          <w:sz w:val="22"/>
          <w:szCs w:val="22"/>
        </w:rPr>
        <w:t>万元</w:t>
      </w:r>
      <w:r>
        <w:rPr>
          <w:rFonts w:hint="eastAsia" w:ascii="宋体" w:hAnsi="宋体" w:eastAsia="宋体" w:cs="宋体"/>
          <w:sz w:val="22"/>
          <w:szCs w:val="22"/>
          <w:vertAlign w:val="superscript"/>
        </w:rPr>
        <w:t>1</w:t>
      </w:r>
      <w:r>
        <w:rPr>
          <w:rFonts w:hint="eastAsia" w:ascii="宋体" w:hAnsi="宋体" w:eastAsia="宋体" w:cs="宋体"/>
          <w:sz w:val="22"/>
          <w:szCs w:val="22"/>
        </w:rPr>
        <w:t>，属于</w:t>
      </w:r>
      <w:r>
        <w:rPr>
          <w:rFonts w:hint="eastAsia" w:ascii="宋体" w:hAnsi="宋体" w:eastAsia="宋体" w:cs="宋体"/>
          <w:i/>
          <w:iCs/>
          <w:sz w:val="22"/>
          <w:szCs w:val="22"/>
          <w:u w:val="single"/>
        </w:rPr>
        <w:t>（中型企业、小型企业、微型企业）</w:t>
      </w:r>
      <w:r>
        <w:rPr>
          <w:rFonts w:hint="eastAsia" w:ascii="宋体" w:hAnsi="宋体" w:eastAsia="宋体" w:cs="宋体"/>
          <w:sz w:val="22"/>
          <w:szCs w:val="22"/>
        </w:rPr>
        <w:t>；</w:t>
      </w:r>
    </w:p>
    <w:p w14:paraId="13EA5E67">
      <w:pPr>
        <w:numPr>
          <w:ilvl w:val="0"/>
          <w:numId w:val="4"/>
        </w:numPr>
        <w:spacing w:line="360" w:lineRule="auto"/>
        <w:ind w:firstLine="440" w:firstLineChars="200"/>
        <w:rPr>
          <w:rFonts w:hint="eastAsia" w:ascii="宋体" w:hAnsi="宋体" w:eastAsia="宋体" w:cs="宋体"/>
          <w:sz w:val="22"/>
          <w:szCs w:val="22"/>
        </w:rPr>
      </w:pPr>
      <w:r>
        <w:rPr>
          <w:rFonts w:hint="eastAsia" w:ascii="宋体" w:hAnsi="宋体" w:eastAsia="宋体" w:cs="宋体"/>
          <w:i/>
          <w:iCs/>
          <w:sz w:val="22"/>
          <w:szCs w:val="22"/>
          <w:u w:val="single"/>
        </w:rPr>
        <w:t>（标的名称）</w:t>
      </w:r>
      <w:r>
        <w:rPr>
          <w:rFonts w:hint="eastAsia" w:ascii="宋体" w:hAnsi="宋体" w:eastAsia="宋体" w:cs="宋体"/>
          <w:sz w:val="22"/>
          <w:szCs w:val="22"/>
        </w:rPr>
        <w:t>，属于</w:t>
      </w:r>
      <w:r>
        <w:rPr>
          <w:rFonts w:hint="eastAsia" w:ascii="宋体" w:hAnsi="宋体" w:eastAsia="宋体" w:cs="宋体"/>
          <w:i/>
          <w:iCs/>
          <w:sz w:val="22"/>
          <w:szCs w:val="22"/>
          <w:u w:val="single"/>
        </w:rPr>
        <w:t>（采购文件中明确的所属行业）</w:t>
      </w:r>
      <w:r>
        <w:rPr>
          <w:rFonts w:hint="eastAsia" w:ascii="宋体" w:hAnsi="宋体" w:eastAsia="宋体" w:cs="宋体"/>
          <w:sz w:val="22"/>
          <w:szCs w:val="22"/>
        </w:rPr>
        <w:t>；承建（承接）企业为</w:t>
      </w:r>
      <w:r>
        <w:rPr>
          <w:rFonts w:hint="eastAsia" w:ascii="宋体" w:hAnsi="宋体" w:eastAsia="宋体" w:cs="宋体"/>
          <w:i/>
          <w:iCs/>
          <w:sz w:val="22"/>
          <w:szCs w:val="22"/>
          <w:u w:val="single"/>
        </w:rPr>
        <w:t>（企业名称）</w:t>
      </w:r>
      <w:r>
        <w:rPr>
          <w:rFonts w:hint="eastAsia" w:ascii="宋体" w:hAnsi="宋体" w:eastAsia="宋体" w:cs="宋体"/>
          <w:sz w:val="22"/>
          <w:szCs w:val="22"/>
        </w:rPr>
        <w:t>，从业人员</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ab/>
      </w:r>
      <w:r>
        <w:rPr>
          <w:rFonts w:hint="eastAsia" w:ascii="宋体" w:hAnsi="宋体" w:eastAsia="宋体" w:cs="宋体"/>
          <w:sz w:val="22"/>
          <w:szCs w:val="22"/>
        </w:rPr>
        <w:t>人，营业收入为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ab/>
      </w:r>
      <w:r>
        <w:rPr>
          <w:rFonts w:hint="eastAsia" w:ascii="宋体" w:hAnsi="宋体" w:eastAsia="宋体" w:cs="宋体"/>
          <w:sz w:val="22"/>
          <w:szCs w:val="22"/>
        </w:rPr>
        <w:t>万元，资产总额为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ab/>
      </w:r>
      <w:r>
        <w:rPr>
          <w:rFonts w:hint="eastAsia" w:ascii="宋体" w:hAnsi="宋体" w:eastAsia="宋体" w:cs="宋体"/>
          <w:sz w:val="22"/>
          <w:szCs w:val="22"/>
        </w:rPr>
        <w:t>万元，属于</w:t>
      </w:r>
      <w:r>
        <w:rPr>
          <w:rFonts w:hint="eastAsia" w:ascii="宋体" w:hAnsi="宋体" w:eastAsia="宋体" w:cs="宋体"/>
          <w:i/>
          <w:iCs/>
          <w:sz w:val="22"/>
          <w:szCs w:val="22"/>
          <w:u w:val="single"/>
        </w:rPr>
        <w:t>（中型企业、小型企业、微型企业）</w:t>
      </w:r>
      <w:r>
        <w:rPr>
          <w:rFonts w:hint="eastAsia" w:ascii="宋体" w:hAnsi="宋体" w:eastAsia="宋体" w:cs="宋体"/>
          <w:sz w:val="22"/>
          <w:szCs w:val="22"/>
        </w:rPr>
        <w:t>；</w:t>
      </w:r>
    </w:p>
    <w:p w14:paraId="51263DFA">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w:t>
      </w:r>
    </w:p>
    <w:p w14:paraId="29B26F42">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以上企业，不属于大企业的分支机构，不存在控股股东为大企业的情形，也不存在与大企业的负责人为同一人的情形。</w:t>
      </w:r>
    </w:p>
    <w:p w14:paraId="34350BA3">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本企业对上述声明内容的真实性负责。如有虚假，将依法承担相应责任。</w:t>
      </w:r>
    </w:p>
    <w:p w14:paraId="701DC973">
      <w:pPr>
        <w:spacing w:line="360" w:lineRule="auto"/>
        <w:ind w:firstLine="4180" w:firstLineChars="1900"/>
        <w:rPr>
          <w:rFonts w:hint="eastAsia" w:ascii="宋体" w:hAnsi="宋体" w:eastAsia="宋体" w:cs="宋体"/>
          <w:sz w:val="22"/>
          <w:szCs w:val="22"/>
        </w:rPr>
      </w:pPr>
      <w:r>
        <w:rPr>
          <w:rFonts w:hint="eastAsia" w:ascii="宋体" w:hAnsi="宋体" w:eastAsia="宋体" w:cs="宋体"/>
          <w:sz w:val="22"/>
          <w:szCs w:val="22"/>
        </w:rPr>
        <w:t>企业名称（盖章）：</w:t>
      </w:r>
    </w:p>
    <w:p w14:paraId="7164BC64">
      <w:pPr>
        <w:spacing w:line="360" w:lineRule="auto"/>
        <w:ind w:firstLine="4180" w:firstLineChars="1900"/>
        <w:rPr>
          <w:rFonts w:hint="eastAsia" w:ascii="宋体" w:hAnsi="宋体" w:eastAsia="宋体" w:cs="宋体"/>
          <w:sz w:val="22"/>
          <w:szCs w:val="22"/>
        </w:rPr>
      </w:pPr>
      <w:r>
        <w:rPr>
          <w:rFonts w:hint="eastAsia" w:ascii="宋体" w:hAnsi="宋体" w:eastAsia="宋体" w:cs="宋体"/>
          <w:sz w:val="22"/>
          <w:szCs w:val="22"/>
        </w:rPr>
        <w:t>日期：</w:t>
      </w:r>
    </w:p>
    <w:p w14:paraId="687DD75B">
      <w:pPr>
        <w:spacing w:line="360" w:lineRule="auto"/>
        <w:rPr>
          <w:rFonts w:hint="eastAsia" w:ascii="宋体" w:hAnsi="宋体" w:eastAsia="宋体" w:cs="宋体"/>
          <w:sz w:val="22"/>
          <w:szCs w:val="22"/>
        </w:rPr>
      </w:pPr>
    </w:p>
    <w:p w14:paraId="0BB09180">
      <w:pPr>
        <w:spacing w:line="360" w:lineRule="auto"/>
        <w:rPr>
          <w:rFonts w:hint="eastAsia" w:ascii="宋体" w:hAnsi="宋体" w:eastAsia="宋体" w:cs="宋体"/>
          <w:sz w:val="22"/>
          <w:szCs w:val="22"/>
        </w:rPr>
      </w:pPr>
      <w:r>
        <w:rPr>
          <w:rFonts w:hint="eastAsia" w:ascii="宋体" w:hAnsi="宋体" w:eastAsia="宋体" w:cs="宋体"/>
          <w:sz w:val="22"/>
          <w:szCs w:val="22"/>
          <w:vertAlign w:val="superscript"/>
        </w:rPr>
        <w:t>1</w:t>
      </w:r>
      <w:r>
        <w:rPr>
          <w:rFonts w:hint="eastAsia" w:ascii="宋体" w:hAnsi="宋体" w:eastAsia="宋体" w:cs="宋体"/>
          <w:sz w:val="22"/>
          <w:szCs w:val="22"/>
        </w:rPr>
        <w:t>从业人员、营业收入、资产总额填报上一年度数据，无上一年度数据的新成立企业可不填报。</w:t>
      </w:r>
    </w:p>
    <w:p w14:paraId="419A2332">
      <w:pPr>
        <w:rPr>
          <w:rFonts w:hint="eastAsia" w:ascii="宋体" w:hAnsi="宋体" w:eastAsia="宋体" w:cs="宋体"/>
          <w:color w:val="auto"/>
          <w:highlight w:val="none"/>
          <w:lang w:eastAsia="zh-CN"/>
        </w:rPr>
      </w:pPr>
    </w:p>
    <w:p w14:paraId="3775B08A">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67F19DFA">
      <w:pPr>
        <w:pStyle w:val="4"/>
        <w:spacing w:before="145" w:line="360" w:lineRule="auto"/>
        <w:ind w:left="2872"/>
        <w:jc w:val="left"/>
        <w:outlineLvl w:val="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（二）残疾人福利性单位声明函</w:t>
      </w:r>
      <w:bookmarkEnd w:id="195"/>
      <w:bookmarkEnd w:id="196"/>
      <w:bookmarkEnd w:id="197"/>
    </w:p>
    <w:p w14:paraId="69E62C6F">
      <w:pPr>
        <w:pStyle w:val="11"/>
        <w:spacing w:before="108" w:line="360" w:lineRule="auto"/>
        <w:ind w:left="161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（属于残疾人福利性企业的填写，不属于的</w:t>
      </w:r>
      <w:r>
        <w:rPr>
          <w:rFonts w:hint="eastAsia" w:ascii="宋体" w:hAnsi="宋体" w:eastAsia="宋体" w:cs="宋体"/>
          <w:b/>
          <w:bCs/>
          <w:color w:val="auto"/>
          <w:sz w:val="22"/>
          <w:szCs w:val="22"/>
          <w:highlight w:val="none"/>
          <w:lang w:eastAsia="zh-CN"/>
        </w:rPr>
        <w:t>无需</w:t>
      </w:r>
      <w:r>
        <w:rPr>
          <w:rFonts w:hint="eastAsia" w:cs="宋体"/>
          <w:b/>
          <w:bCs/>
          <w:color w:val="auto"/>
          <w:sz w:val="22"/>
          <w:szCs w:val="22"/>
          <w:highlight w:val="none"/>
          <w:lang w:val="en-US" w:eastAsia="zh-CN"/>
        </w:rPr>
        <w:t>提供</w:t>
      </w:r>
      <w:r>
        <w:rPr>
          <w:rFonts w:hint="eastAsia" w:ascii="宋体" w:hAnsi="宋体" w:eastAsia="宋体" w:cs="宋体"/>
          <w:b/>
          <w:bCs/>
          <w:color w:val="auto"/>
          <w:sz w:val="22"/>
          <w:szCs w:val="22"/>
          <w:highlight w:val="none"/>
          <w:lang w:eastAsia="zh-CN"/>
        </w:rPr>
        <w:t>此项内容</w:t>
      </w:r>
      <w:r>
        <w:rPr>
          <w:rFonts w:hint="eastAsia" w:ascii="宋体" w:hAnsi="宋体" w:eastAsia="宋体" w:cs="宋体"/>
          <w:color w:val="auto"/>
          <w:sz w:val="22"/>
          <w:szCs w:val="22"/>
          <w:highlight w:val="none"/>
          <w:lang w:eastAsia="zh-CN"/>
        </w:rPr>
        <w:t>）</w:t>
      </w:r>
    </w:p>
    <w:p w14:paraId="7AE7ADA6">
      <w:pPr>
        <w:pStyle w:val="11"/>
        <w:spacing w:line="360" w:lineRule="auto"/>
        <w:rPr>
          <w:rFonts w:hint="eastAsia" w:ascii="宋体" w:hAnsi="宋体" w:eastAsia="宋体" w:cs="宋体"/>
          <w:color w:val="auto"/>
          <w:sz w:val="22"/>
          <w:szCs w:val="22"/>
          <w:highlight w:val="none"/>
          <w:lang w:eastAsia="zh-CN"/>
        </w:rPr>
      </w:pPr>
    </w:p>
    <w:p w14:paraId="739F7EAA">
      <w:pPr>
        <w:pStyle w:val="11"/>
        <w:tabs>
          <w:tab w:val="left" w:pos="2663"/>
          <w:tab w:val="left" w:pos="3923"/>
        </w:tabs>
        <w:spacing w:line="360" w:lineRule="auto"/>
        <w:ind w:left="402" w:right="402" w:firstLine="631"/>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 xml:space="preserve">单位的 </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项目采购活动提供本单位制造的货物（由本单位承担工程/提供服务），或者提供其他残疾人福利性单位制造的货物（不包括使用非残疾人福利性单位注册商标的货物）。</w:t>
      </w:r>
    </w:p>
    <w:p w14:paraId="1DF52E3C">
      <w:pPr>
        <w:pStyle w:val="11"/>
        <w:tabs>
          <w:tab w:val="left" w:pos="2663"/>
          <w:tab w:val="left" w:pos="3923"/>
        </w:tabs>
        <w:spacing w:line="360" w:lineRule="auto"/>
        <w:ind w:left="402" w:right="402" w:firstLine="631"/>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本单位对上述声明的真实性负责。如有虚假，将依法承担相应责任。</w:t>
      </w:r>
    </w:p>
    <w:p w14:paraId="4FFDB8CD">
      <w:pPr>
        <w:pStyle w:val="11"/>
        <w:spacing w:line="360" w:lineRule="auto"/>
        <w:rPr>
          <w:rFonts w:hint="eastAsia" w:ascii="宋体" w:hAnsi="宋体" w:eastAsia="宋体" w:cs="宋体"/>
          <w:color w:val="auto"/>
          <w:sz w:val="22"/>
          <w:szCs w:val="22"/>
          <w:highlight w:val="none"/>
          <w:lang w:eastAsia="zh-CN"/>
        </w:rPr>
      </w:pPr>
    </w:p>
    <w:p w14:paraId="76BD1B99">
      <w:pPr>
        <w:pStyle w:val="11"/>
        <w:spacing w:line="360" w:lineRule="auto"/>
        <w:rPr>
          <w:rFonts w:hint="eastAsia" w:ascii="宋体" w:hAnsi="宋体" w:eastAsia="宋体" w:cs="宋体"/>
          <w:color w:val="auto"/>
          <w:sz w:val="22"/>
          <w:szCs w:val="22"/>
          <w:highlight w:val="none"/>
          <w:lang w:eastAsia="zh-CN"/>
        </w:rPr>
      </w:pPr>
    </w:p>
    <w:p w14:paraId="5E01E6AF">
      <w:pPr>
        <w:pStyle w:val="11"/>
        <w:spacing w:line="360" w:lineRule="auto"/>
        <w:rPr>
          <w:rFonts w:hint="eastAsia" w:ascii="宋体" w:hAnsi="宋体" w:eastAsia="宋体" w:cs="宋体"/>
          <w:color w:val="auto"/>
          <w:sz w:val="22"/>
          <w:szCs w:val="22"/>
          <w:highlight w:val="none"/>
          <w:lang w:eastAsia="zh-CN"/>
        </w:rPr>
      </w:pPr>
    </w:p>
    <w:p w14:paraId="23DA702F">
      <w:pPr>
        <w:pStyle w:val="11"/>
        <w:spacing w:line="360" w:lineRule="auto"/>
        <w:rPr>
          <w:rFonts w:hint="eastAsia" w:ascii="宋体" w:hAnsi="宋体" w:eastAsia="宋体" w:cs="宋体"/>
          <w:color w:val="auto"/>
          <w:sz w:val="22"/>
          <w:szCs w:val="22"/>
          <w:highlight w:val="none"/>
          <w:lang w:eastAsia="zh-CN"/>
        </w:rPr>
      </w:pPr>
    </w:p>
    <w:p w14:paraId="50E4BA8E">
      <w:pPr>
        <w:pStyle w:val="11"/>
        <w:tabs>
          <w:tab w:val="left" w:pos="7333"/>
        </w:tabs>
        <w:spacing w:before="141" w:line="360" w:lineRule="auto"/>
        <w:ind w:left="355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w w:val="95"/>
          <w:sz w:val="22"/>
          <w:szCs w:val="22"/>
          <w:highlight w:val="none"/>
          <w:u w:val="single"/>
          <w:lang w:eastAsia="zh-CN"/>
        </w:rPr>
        <w:t>（盖单位公章）</w:t>
      </w:r>
    </w:p>
    <w:p w14:paraId="70D1429D">
      <w:pPr>
        <w:pStyle w:val="11"/>
        <w:spacing w:before="4" w:line="360" w:lineRule="auto"/>
        <w:rPr>
          <w:rFonts w:hint="eastAsia" w:ascii="宋体" w:hAnsi="宋体" w:eastAsia="宋体" w:cs="宋体"/>
          <w:color w:val="auto"/>
          <w:sz w:val="22"/>
          <w:szCs w:val="22"/>
          <w:highlight w:val="none"/>
          <w:lang w:eastAsia="zh-CN"/>
        </w:rPr>
      </w:pPr>
    </w:p>
    <w:p w14:paraId="5A6E5C45">
      <w:pPr>
        <w:pStyle w:val="11"/>
        <w:tabs>
          <w:tab w:val="left" w:pos="7338"/>
        </w:tabs>
        <w:spacing w:before="77" w:line="360" w:lineRule="auto"/>
        <w:ind w:left="349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法定代表人或其委托代理人</w:t>
      </w:r>
      <w:r>
        <w:rPr>
          <w:rFonts w:hint="eastAsia" w:ascii="宋体" w:hAnsi="宋体" w:eastAsia="宋体" w:cs="宋体"/>
          <w:color w:val="auto"/>
          <w:spacing w:val="-20"/>
          <w:sz w:val="22"/>
          <w:szCs w:val="22"/>
          <w:highlight w:val="none"/>
          <w:lang w:eastAsia="zh-CN"/>
        </w:rPr>
        <w:t>：</w:t>
      </w:r>
      <w:r>
        <w:rPr>
          <w:rFonts w:hint="eastAsia" w:ascii="宋体" w:hAnsi="宋体" w:eastAsia="宋体" w:cs="宋体"/>
          <w:color w:val="auto"/>
          <w:spacing w:val="-20"/>
          <w:sz w:val="22"/>
          <w:szCs w:val="22"/>
          <w:highlight w:val="none"/>
          <w:u w:val="single"/>
          <w:lang w:eastAsia="zh-CN"/>
        </w:rPr>
        <w:tab/>
      </w:r>
      <w:r>
        <w:rPr>
          <w:rFonts w:hint="eastAsia" w:ascii="宋体" w:hAnsi="宋体" w:eastAsia="宋体" w:cs="宋体"/>
          <w:color w:val="auto"/>
          <w:w w:val="95"/>
          <w:sz w:val="22"/>
          <w:szCs w:val="22"/>
          <w:highlight w:val="none"/>
          <w:u w:val="single"/>
          <w:lang w:eastAsia="zh-CN"/>
        </w:rPr>
        <w:t>（签字或盖章）</w:t>
      </w:r>
    </w:p>
    <w:p w14:paraId="73B91C98">
      <w:pPr>
        <w:pStyle w:val="11"/>
        <w:spacing w:before="6" w:line="360" w:lineRule="auto"/>
        <w:rPr>
          <w:rFonts w:hint="eastAsia" w:ascii="宋体" w:hAnsi="宋体" w:eastAsia="宋体" w:cs="宋体"/>
          <w:color w:val="auto"/>
          <w:sz w:val="22"/>
          <w:szCs w:val="22"/>
          <w:highlight w:val="none"/>
          <w:lang w:eastAsia="zh-CN"/>
        </w:rPr>
      </w:pPr>
    </w:p>
    <w:p w14:paraId="6AA90DD9">
      <w:pPr>
        <w:pStyle w:val="11"/>
        <w:tabs>
          <w:tab w:val="left" w:pos="4707"/>
          <w:tab w:val="left" w:pos="5704"/>
          <w:tab w:val="left" w:pos="6913"/>
        </w:tabs>
        <w:spacing w:before="77" w:line="360" w:lineRule="auto"/>
        <w:ind w:left="365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日</w:t>
      </w:r>
    </w:p>
    <w:p w14:paraId="323F6AAF">
      <w:pPr>
        <w:pStyle w:val="11"/>
        <w:spacing w:before="10" w:line="360" w:lineRule="auto"/>
        <w:rPr>
          <w:rFonts w:hint="eastAsia" w:ascii="宋体" w:hAnsi="宋体" w:eastAsia="宋体" w:cs="宋体"/>
          <w:color w:val="auto"/>
          <w:sz w:val="22"/>
          <w:szCs w:val="22"/>
          <w:highlight w:val="none"/>
          <w:lang w:eastAsia="zh-CN"/>
        </w:rPr>
      </w:pPr>
    </w:p>
    <w:p w14:paraId="128D0F65">
      <w:pPr>
        <w:spacing w:line="360" w:lineRule="auto"/>
        <w:rPr>
          <w:rFonts w:hint="eastAsia" w:ascii="宋体" w:hAnsi="宋体" w:eastAsia="宋体" w:cs="宋体"/>
          <w:color w:val="auto"/>
          <w:sz w:val="22"/>
          <w:szCs w:val="22"/>
          <w:highlight w:val="none"/>
          <w:lang w:eastAsia="zh-CN"/>
        </w:rPr>
        <w:sectPr>
          <w:pgSz w:w="11910" w:h="16840"/>
          <w:pgMar w:top="1440" w:right="1080" w:bottom="1440" w:left="1080" w:header="878" w:footer="1130" w:gutter="0"/>
          <w:pgNumType w:fmt="decimal"/>
          <w:cols w:space="720" w:num="1"/>
        </w:sectPr>
      </w:pPr>
    </w:p>
    <w:p w14:paraId="3CC414CF">
      <w:pPr>
        <w:pStyle w:val="4"/>
        <w:spacing w:line="360" w:lineRule="auto"/>
        <w:jc w:val="center"/>
        <w:outlineLvl w:val="2"/>
        <w:rPr>
          <w:rFonts w:hint="eastAsia" w:ascii="宋体" w:hAnsi="宋体" w:eastAsia="宋体" w:cs="宋体"/>
          <w:color w:val="auto"/>
          <w:highlight w:val="none"/>
          <w:lang w:eastAsia="zh-CN"/>
        </w:rPr>
      </w:pPr>
      <w:bookmarkStart w:id="198" w:name="（三）所投产品符合国家强制性要求承诺函"/>
      <w:bookmarkEnd w:id="198"/>
      <w:bookmarkStart w:id="199" w:name="_Toc25152"/>
      <w:bookmarkStart w:id="200" w:name="_Toc29574"/>
      <w:bookmarkStart w:id="201" w:name="_Toc2478"/>
      <w:r>
        <w:rPr>
          <w:rFonts w:hint="eastAsia" w:ascii="宋体" w:hAnsi="宋体" w:eastAsia="宋体" w:cs="宋体"/>
          <w:color w:val="auto"/>
          <w:highlight w:val="none"/>
          <w:lang w:eastAsia="zh-CN"/>
        </w:rPr>
        <w:t>（三）监狱企业证明文件</w:t>
      </w:r>
    </w:p>
    <w:p w14:paraId="7F75D155">
      <w:pPr>
        <w:spacing w:line="360" w:lineRule="auto"/>
        <w:jc w:val="center"/>
        <w:outlineLvl w:val="9"/>
        <w:rPr>
          <w:rFonts w:hint="eastAsia" w:ascii="宋体" w:hAnsi="宋体" w:eastAsia="宋体" w:cs="宋体"/>
          <w:color w:val="auto"/>
          <w:highlight w:val="none"/>
          <w:lang w:eastAsia="zh-CN"/>
        </w:rPr>
      </w:pPr>
    </w:p>
    <w:p w14:paraId="762AA46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 省级以上监狱管理局、戒毒管理局（含新疆生产建设兵团）出具的属于监狱企业的证明文件。</w:t>
      </w:r>
    </w:p>
    <w:p w14:paraId="1C7B78F7">
      <w:pPr>
        <w:keepNext w:val="0"/>
        <w:keepLines w:val="0"/>
        <w:pageBreakBefore w:val="0"/>
        <w:widowControl/>
        <w:suppressLineNumbers w:val="0"/>
        <w:kinsoku/>
        <w:overflowPunct/>
        <w:topLinePunct w:val="0"/>
        <w:bidi w:val="0"/>
        <w:spacing w:line="360" w:lineRule="auto"/>
        <w:jc w:val="center"/>
        <w:rPr>
          <w:rFonts w:hint="eastAsia" w:ascii="宋体" w:hAnsi="宋体" w:eastAsia="宋体" w:cs="宋体"/>
          <w:b/>
          <w:bCs/>
          <w:kern w:val="0"/>
          <w:sz w:val="21"/>
          <w:szCs w:val="21"/>
        </w:rPr>
      </w:pPr>
      <w:r>
        <w:rPr>
          <w:rFonts w:hint="eastAsia" w:ascii="宋体" w:hAnsi="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提醒：如果供应商不是监狱企业，则不需要提供监狱企业证明材料</w:t>
      </w:r>
      <w:r>
        <w:rPr>
          <w:rFonts w:hint="eastAsia" w:ascii="宋体" w:hAnsi="宋体" w:cs="宋体"/>
          <w:b/>
          <w:bCs/>
          <w:color w:val="000000"/>
          <w:kern w:val="0"/>
          <w:sz w:val="21"/>
          <w:szCs w:val="21"/>
          <w:lang w:val="en-US" w:eastAsia="zh-CN" w:bidi="ar"/>
        </w:rPr>
        <w:t>）</w:t>
      </w:r>
    </w:p>
    <w:p w14:paraId="34FBDEEB">
      <w:pPr>
        <w:rPr>
          <w:rFonts w:hint="eastAsia" w:ascii="宋体" w:hAnsi="宋体" w:eastAsia="宋体" w:cs="宋体"/>
          <w:color w:val="auto"/>
          <w:highlight w:val="none"/>
          <w:lang w:eastAsia="zh-CN"/>
        </w:rPr>
      </w:pPr>
    </w:p>
    <w:p w14:paraId="41F3623B">
      <w:pPr>
        <w:rPr>
          <w:rFonts w:hint="eastAsia" w:ascii="宋体" w:hAnsi="宋体" w:eastAsia="宋体" w:cs="宋体"/>
          <w:color w:val="auto"/>
          <w:sz w:val="17"/>
          <w:highlight w:val="none"/>
          <w:lang w:eastAsia="zh-CN"/>
        </w:rPr>
      </w:pPr>
      <w:r>
        <w:rPr>
          <w:rFonts w:hint="eastAsia" w:cs="宋体"/>
          <w:color w:val="auto"/>
          <w:highlight w:val="none"/>
          <w:lang w:eastAsia="zh-CN"/>
        </w:rPr>
        <w:br w:type="page"/>
      </w:r>
      <w:bookmarkEnd w:id="199"/>
      <w:bookmarkEnd w:id="200"/>
      <w:bookmarkEnd w:id="201"/>
    </w:p>
    <w:p w14:paraId="7DBA97EB">
      <w:pPr>
        <w:pStyle w:val="4"/>
        <w:spacing w:line="360" w:lineRule="auto"/>
        <w:jc w:val="center"/>
        <w:outlineLvl w:val="2"/>
        <w:rPr>
          <w:rFonts w:hint="eastAsia" w:ascii="宋体" w:hAnsi="宋体" w:eastAsia="宋体" w:cs="宋体"/>
          <w:color w:val="auto"/>
          <w:highlight w:val="none"/>
          <w:lang w:eastAsia="zh-CN"/>
        </w:rPr>
      </w:pPr>
      <w:bookmarkStart w:id="202" w:name="（四）竞争性磋商文件、评分办法中要求的其它证明材料"/>
      <w:bookmarkEnd w:id="202"/>
      <w:bookmarkStart w:id="203" w:name="_Toc1986"/>
      <w:bookmarkStart w:id="204" w:name="_Toc17743"/>
      <w:bookmarkStart w:id="205" w:name="_Toc8809"/>
      <w:r>
        <w:rPr>
          <w:rFonts w:hint="eastAsia" w:ascii="宋体" w:hAnsi="宋体" w:eastAsia="宋体" w:cs="宋体"/>
          <w:color w:val="auto"/>
          <w:highlight w:val="none"/>
          <w:lang w:eastAsia="zh-CN"/>
        </w:rPr>
        <w:t>（四）竞争性磋商文件、评分办法中要求的其它证明材料</w:t>
      </w:r>
      <w:bookmarkEnd w:id="203"/>
      <w:bookmarkEnd w:id="204"/>
      <w:bookmarkEnd w:id="205"/>
    </w:p>
    <w:p w14:paraId="3AA5C61E">
      <w:pPr>
        <w:pStyle w:val="11"/>
        <w:spacing w:line="360" w:lineRule="auto"/>
        <w:rPr>
          <w:rFonts w:hint="eastAsia" w:ascii="宋体" w:hAnsi="宋体" w:eastAsia="宋体" w:cs="宋体"/>
          <w:b/>
          <w:color w:val="auto"/>
          <w:sz w:val="24"/>
          <w:highlight w:val="none"/>
          <w:lang w:eastAsia="zh-CN"/>
        </w:rPr>
      </w:pPr>
    </w:p>
    <w:p w14:paraId="02558F4C">
      <w:pPr>
        <w:pStyle w:val="11"/>
        <w:spacing w:before="2" w:line="360" w:lineRule="auto"/>
        <w:rPr>
          <w:rFonts w:hint="eastAsia" w:ascii="宋体" w:hAnsi="宋体" w:eastAsia="宋体" w:cs="宋体"/>
          <w:b/>
          <w:color w:val="auto"/>
          <w:sz w:val="28"/>
          <w:highlight w:val="none"/>
          <w:lang w:eastAsia="zh-CN"/>
        </w:rPr>
      </w:pPr>
    </w:p>
    <w:p w14:paraId="07927D1E">
      <w:pPr>
        <w:spacing w:line="360" w:lineRule="auto"/>
        <w:rPr>
          <w:rFonts w:hint="eastAsia" w:ascii="宋体" w:hAnsi="宋体" w:eastAsia="宋体" w:cs="宋体"/>
          <w:color w:val="auto"/>
          <w:highlight w:val="none"/>
        </w:rPr>
      </w:pPr>
    </w:p>
    <w:p w14:paraId="076A21DB">
      <w:pPr>
        <w:spacing w:line="360" w:lineRule="auto"/>
        <w:rPr>
          <w:rFonts w:hint="eastAsia" w:ascii="宋体" w:hAnsi="宋体" w:eastAsia="宋体" w:cs="宋体"/>
          <w:color w:val="auto"/>
          <w:highlight w:val="none"/>
        </w:rPr>
      </w:pPr>
    </w:p>
    <w:p w14:paraId="3BC18E1C">
      <w:pPr>
        <w:spacing w:line="360" w:lineRule="auto"/>
        <w:rPr>
          <w:rFonts w:hint="eastAsia" w:ascii="宋体" w:hAnsi="宋体" w:eastAsia="宋体" w:cs="宋体"/>
          <w:color w:val="auto"/>
          <w:highlight w:val="none"/>
        </w:rPr>
      </w:pPr>
    </w:p>
    <w:p w14:paraId="2CB35401">
      <w:pPr>
        <w:spacing w:line="360" w:lineRule="auto"/>
        <w:rPr>
          <w:rFonts w:hint="eastAsia" w:ascii="宋体" w:hAnsi="宋体" w:eastAsia="宋体" w:cs="宋体"/>
          <w:color w:val="auto"/>
          <w:highlight w:val="none"/>
        </w:rPr>
      </w:pPr>
    </w:p>
    <w:p w14:paraId="38FF041A">
      <w:pPr>
        <w:spacing w:line="360" w:lineRule="auto"/>
        <w:rPr>
          <w:rFonts w:hint="eastAsia" w:ascii="宋体" w:hAnsi="宋体" w:eastAsia="宋体" w:cs="宋体"/>
          <w:color w:val="auto"/>
          <w:highlight w:val="none"/>
        </w:rPr>
      </w:pPr>
    </w:p>
    <w:p w14:paraId="6AFAEDC7">
      <w:pPr>
        <w:spacing w:line="360" w:lineRule="auto"/>
        <w:rPr>
          <w:rFonts w:hint="eastAsia" w:ascii="宋体" w:hAnsi="宋体" w:eastAsia="宋体" w:cs="宋体"/>
          <w:color w:val="auto"/>
          <w:highlight w:val="none"/>
        </w:rPr>
      </w:pPr>
    </w:p>
    <w:p w14:paraId="45F63378">
      <w:pPr>
        <w:spacing w:line="360" w:lineRule="auto"/>
        <w:rPr>
          <w:rFonts w:hint="eastAsia" w:ascii="宋体" w:hAnsi="宋体" w:eastAsia="宋体" w:cs="宋体"/>
          <w:color w:val="auto"/>
          <w:highlight w:val="none"/>
        </w:rPr>
      </w:pPr>
    </w:p>
    <w:p w14:paraId="163DE538">
      <w:pPr>
        <w:spacing w:line="360" w:lineRule="auto"/>
        <w:rPr>
          <w:rFonts w:hint="eastAsia" w:ascii="宋体" w:hAnsi="宋体" w:eastAsia="宋体" w:cs="宋体"/>
          <w:color w:val="auto"/>
          <w:highlight w:val="none"/>
        </w:rPr>
      </w:pPr>
    </w:p>
    <w:p w14:paraId="4B05A188">
      <w:pPr>
        <w:spacing w:line="360" w:lineRule="auto"/>
        <w:rPr>
          <w:rFonts w:hint="eastAsia" w:ascii="宋体" w:hAnsi="宋体" w:eastAsia="宋体" w:cs="宋体"/>
          <w:color w:val="auto"/>
          <w:highlight w:val="none"/>
        </w:rPr>
      </w:pPr>
    </w:p>
    <w:p w14:paraId="3714187F">
      <w:pPr>
        <w:spacing w:line="360" w:lineRule="auto"/>
        <w:rPr>
          <w:rFonts w:hint="eastAsia" w:ascii="宋体" w:hAnsi="宋体" w:eastAsia="宋体" w:cs="宋体"/>
          <w:color w:val="auto"/>
          <w:highlight w:val="none"/>
        </w:rPr>
      </w:pPr>
    </w:p>
    <w:p w14:paraId="4F8BF2EB">
      <w:pPr>
        <w:spacing w:line="360" w:lineRule="auto"/>
        <w:rPr>
          <w:rFonts w:hint="eastAsia" w:ascii="宋体" w:hAnsi="宋体" w:eastAsia="宋体" w:cs="宋体"/>
          <w:color w:val="auto"/>
          <w:highlight w:val="none"/>
        </w:rPr>
      </w:pPr>
    </w:p>
    <w:p w14:paraId="6AF1AFA7">
      <w:pPr>
        <w:spacing w:line="360" w:lineRule="auto"/>
        <w:rPr>
          <w:rFonts w:hint="eastAsia" w:ascii="宋体" w:hAnsi="宋体" w:eastAsia="宋体" w:cs="宋体"/>
          <w:color w:val="auto"/>
          <w:highlight w:val="none"/>
        </w:rPr>
      </w:pPr>
    </w:p>
    <w:p w14:paraId="3BDB6562">
      <w:pPr>
        <w:spacing w:line="360" w:lineRule="auto"/>
        <w:rPr>
          <w:rFonts w:hint="eastAsia" w:ascii="宋体" w:hAnsi="宋体" w:eastAsia="宋体" w:cs="宋体"/>
          <w:color w:val="auto"/>
          <w:highlight w:val="none"/>
        </w:rPr>
      </w:pPr>
    </w:p>
    <w:p w14:paraId="79A0BE67">
      <w:pPr>
        <w:spacing w:line="360" w:lineRule="auto"/>
        <w:rPr>
          <w:rFonts w:hint="eastAsia" w:ascii="宋体" w:hAnsi="宋体" w:eastAsia="宋体" w:cs="宋体"/>
          <w:color w:val="auto"/>
          <w:highlight w:val="none"/>
        </w:rPr>
      </w:pPr>
    </w:p>
    <w:p w14:paraId="131BA8B4">
      <w:pPr>
        <w:spacing w:line="360" w:lineRule="auto"/>
        <w:rPr>
          <w:rFonts w:hint="eastAsia" w:ascii="宋体" w:hAnsi="宋体" w:eastAsia="宋体" w:cs="宋体"/>
          <w:color w:val="auto"/>
          <w:highlight w:val="none"/>
        </w:rPr>
      </w:pPr>
    </w:p>
    <w:p w14:paraId="6483AA6A">
      <w:pPr>
        <w:spacing w:line="360" w:lineRule="auto"/>
        <w:rPr>
          <w:rFonts w:hint="eastAsia" w:ascii="宋体" w:hAnsi="宋体" w:eastAsia="宋体" w:cs="宋体"/>
          <w:color w:val="auto"/>
          <w:highlight w:val="none"/>
        </w:rPr>
      </w:pPr>
    </w:p>
    <w:p w14:paraId="5F043BB3">
      <w:pPr>
        <w:spacing w:line="360" w:lineRule="auto"/>
        <w:rPr>
          <w:rFonts w:hint="eastAsia" w:ascii="宋体" w:hAnsi="宋体" w:eastAsia="宋体" w:cs="宋体"/>
          <w:color w:val="auto"/>
          <w:highlight w:val="none"/>
        </w:rPr>
      </w:pPr>
    </w:p>
    <w:p w14:paraId="705BBB0F">
      <w:pPr>
        <w:spacing w:line="360" w:lineRule="auto"/>
        <w:rPr>
          <w:rFonts w:hint="eastAsia" w:ascii="宋体" w:hAnsi="宋体" w:eastAsia="宋体" w:cs="宋体"/>
          <w:color w:val="auto"/>
          <w:highlight w:val="none"/>
        </w:rPr>
      </w:pPr>
    </w:p>
    <w:p w14:paraId="3ED5C98D">
      <w:pPr>
        <w:spacing w:line="360" w:lineRule="auto"/>
        <w:rPr>
          <w:rFonts w:hint="eastAsia" w:ascii="宋体" w:hAnsi="宋体" w:eastAsia="宋体" w:cs="宋体"/>
          <w:color w:val="auto"/>
          <w:highlight w:val="none"/>
        </w:rPr>
      </w:pPr>
    </w:p>
    <w:p w14:paraId="46CF4BCE">
      <w:pPr>
        <w:spacing w:line="360" w:lineRule="auto"/>
        <w:rPr>
          <w:rFonts w:hint="eastAsia" w:ascii="宋体" w:hAnsi="宋体" w:eastAsia="宋体" w:cs="宋体"/>
          <w:color w:val="auto"/>
          <w:highlight w:val="none"/>
        </w:rPr>
      </w:pPr>
    </w:p>
    <w:p w14:paraId="4DEA5AA3">
      <w:pPr>
        <w:tabs>
          <w:tab w:val="left" w:pos="5466"/>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b/>
      </w:r>
    </w:p>
    <w:sectPr>
      <w:pgSz w:w="11910" w:h="16840"/>
      <w:pgMar w:top="1440" w:right="1080" w:bottom="1440" w:left="1080" w:header="878" w:footer="113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C78A1">
    <w:pPr>
      <w:pStyle w:val="11"/>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1057275</wp:posOffset>
              </wp:positionH>
              <wp:positionV relativeFrom="page">
                <wp:posOffset>9909810</wp:posOffset>
              </wp:positionV>
              <wp:extent cx="1625600" cy="139700"/>
              <wp:effectExtent l="0" t="0" r="0" b="0"/>
              <wp:wrapNone/>
              <wp:docPr id="11" name="文本框 1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6989EBC5"/>
                      </w:txbxContent>
                    </wps:txbx>
                    <wps:bodyPr lIns="0" tIns="0" rIns="0" bIns="0" upright="1"/>
                  </wps:wsp>
                </a:graphicData>
              </a:graphic>
            </wp:anchor>
          </w:drawing>
        </mc:Choice>
        <mc:Fallback>
          <w:pict>
            <v:shape id="文本框 14" o:spid="_x0000_s1026" o:spt="202" type="#_x0000_t202" style="position:absolute;left:0pt;margin-left:83.25pt;margin-top:780.3pt;height:11pt;width:128pt;mso-position-horizontal-relative:page;mso-position-vertical-relative:page;z-index:-251652096;mso-width-relative:page;mso-height-relative:page;" filled="f" stroked="f" coordsize="21600,21600" o:gfxdata="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21NDNkAAAANAQAADwAAAAAAAAABACAAAAAiAAAAZHJzL2Rvd25yZXYueG1s&#10;UEsBAhQAFAAAAAgAh07iQFG83GG+AQAAggMAAA4AAAAAAAAAAQAgAAAAKAEAAGRycy9lMm9Eb2Mu&#10;eG1sUEsFBgAAAAAGAAYAWQEAAFgFAAAAAA==&#10;">
              <v:fill on="f" focussize="0,0"/>
              <v:stroke on="f"/>
              <v:imagedata o:title=""/>
              <o:lock v:ext="edit" aspectratio="f"/>
              <v:textbox inset="0mm,0mm,0mm,0mm">
                <w:txbxContent>
                  <w:p w14:paraId="6989EBC5"/>
                </w:txbxContent>
              </v:textbox>
            </v:shape>
          </w:pict>
        </mc:Fallback>
      </mc:AlternateContent>
    </w:r>
    <w:r>
      <w:rPr>
        <w:lang w:eastAsia="zh-CN"/>
      </w:rPr>
      <mc:AlternateContent>
        <mc:Choice Requires="wps">
          <w:drawing>
            <wp:anchor distT="0" distB="0" distL="114300" distR="114300" simplePos="0" relativeHeight="251665408" behindDoc="1" locked="0" layoutInCell="1" allowOverlap="1">
              <wp:simplePos x="0" y="0"/>
              <wp:positionH relativeFrom="page">
                <wp:posOffset>5589270</wp:posOffset>
              </wp:positionH>
              <wp:positionV relativeFrom="page">
                <wp:posOffset>9914890</wp:posOffset>
              </wp:positionV>
              <wp:extent cx="750570" cy="152400"/>
              <wp:effectExtent l="0" t="0" r="0" b="0"/>
              <wp:wrapNone/>
              <wp:docPr id="12" name="文本框 15"/>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6BD9921C">
                          <w:pPr>
                            <w:spacing w:before="12"/>
                            <w:ind w:left="20"/>
                            <w:rPr>
                              <w:rFonts w:ascii="Times New Roman"/>
                              <w:sz w:val="18"/>
                            </w:rPr>
                          </w:pPr>
                        </w:p>
                      </w:txbxContent>
                    </wps:txbx>
                    <wps:bodyPr lIns="0" tIns="0" rIns="0" bIns="0" upright="1"/>
                  </wps:wsp>
                </a:graphicData>
              </a:graphic>
            </wp:anchor>
          </w:drawing>
        </mc:Choice>
        <mc:Fallback>
          <w:pict>
            <v:shape id="文本框 15" o:spid="_x0000_s1026" o:spt="202" type="#_x0000_t202" style="position:absolute;left:0pt;margin-left:440.1pt;margin-top:780.7pt;height:12pt;width:59.1pt;mso-position-horizontal-relative:page;mso-position-vertical-relative:page;z-index:-251651072;mso-width-relative:page;mso-height-relative:page;" filled="f" stroked="f" coordsize="21600,21600" o:gfxdata="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QGb9sAAAANAQAADwAAAAAAAAABACAAAAAiAAAAZHJzL2Rvd25yZXYu&#10;eG1sUEsBAhQAFAAAAAgAh07iQJN+msS/AQAAgQMAAA4AAAAAAAAAAQAgAAAAKgEAAGRycy9lMm9E&#10;b2MueG1sUEsFBgAAAAAGAAYAWQEAAFsFAAAAAA==&#10;">
              <v:fill on="f" focussize="0,0"/>
              <v:stroke on="f"/>
              <v:imagedata o:title=""/>
              <o:lock v:ext="edit" aspectratio="f"/>
              <v:textbox inset="0mm,0mm,0mm,0mm">
                <w:txbxContent>
                  <w:p w14:paraId="6BD9921C">
                    <w:pPr>
                      <w:spacing w:before="12"/>
                      <w:ind w:left="20"/>
                      <w:rPr>
                        <w:rFonts w:ascii="Times New Roman"/>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D3">
    <w:pPr>
      <w:pStyle w:val="11"/>
      <w:spacing w:line="14" w:lineRule="auto"/>
      <w:rPr>
        <w:sz w:val="20"/>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1CF72">
                          <w:pPr>
                            <w:pStyle w:val="2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0D1CF72">
                    <w:pPr>
                      <w:pStyle w:val="21"/>
                    </w:pPr>
                    <w:r>
                      <w:fldChar w:fldCharType="begin"/>
                    </w:r>
                    <w:r>
                      <w:instrText xml:space="preserve"> PAGE  \* MERGEFORMAT </w:instrText>
                    </w:r>
                    <w:r>
                      <w:fldChar w:fldCharType="separate"/>
                    </w:r>
                    <w:r>
                      <w:t>11</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5589270</wp:posOffset>
              </wp:positionH>
              <wp:positionV relativeFrom="page">
                <wp:posOffset>9914890</wp:posOffset>
              </wp:positionV>
              <wp:extent cx="750570" cy="1524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1A3A4A06">
                          <w:pPr>
                            <w:spacing w:before="12"/>
                            <w:ind w:left="20"/>
                            <w:rPr>
                              <w:rFonts w:ascii="Times New Roman"/>
                              <w:sz w:val="18"/>
                            </w:rPr>
                          </w:pPr>
                        </w:p>
                      </w:txbxContent>
                    </wps:txbx>
                    <wps:bodyPr lIns="0" tIns="0" rIns="0" bIns="0" upright="1"/>
                  </wps:wsp>
                </a:graphicData>
              </a:graphic>
            </wp:anchor>
          </w:drawing>
        </mc:Choice>
        <mc:Fallback>
          <w:pict>
            <v:shape id="文本框 21" o:spid="_x0000_s1026" o:spt="202" type="#_x0000_t202" style="position:absolute;left:0pt;margin-left:440.1pt;margin-top:780.7pt;height:12pt;width:59.1pt;mso-position-horizontal-relative:page;mso-position-vertical-relative:page;z-index:-251657216;mso-width-relative:page;mso-height-relative:page;" filled="f" stroked="f" coordsize="21600,21600" o:gfxdata="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0Bm/bAAAADQEAAA8AAAAAAAAAAQAgAAAAIgAAAGRycy9kb3ducmV2&#10;LnhtbFBLAQIUABQAAAAIAIdO4kAY+9QnwAEAAIADAAAOAAAAAAAAAAEAIAAAACoBAABkcnMvZTJv&#10;RG9jLnhtbFBLBQYAAAAABgAGAFkBAABcBQAAAAA=&#10;">
              <v:fill on="f" focussize="0,0"/>
              <v:stroke on="f"/>
              <v:imagedata o:title=""/>
              <o:lock v:ext="edit" aspectratio="f"/>
              <v:textbox inset="0mm,0mm,0mm,0mm">
                <w:txbxContent>
                  <w:p w14:paraId="1A3A4A06">
                    <w:pPr>
                      <w:spacing w:before="12"/>
                      <w:ind w:left="20"/>
                      <w:rPr>
                        <w:rFonts w:ascii="Times New Roman"/>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5D83B">
    <w:pPr>
      <w:pStyle w:val="11"/>
      <w:spacing w:line="14" w:lineRule="auto"/>
      <w:rPr>
        <w:sz w:val="20"/>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44EBA">
                          <w:pPr>
                            <w:pStyle w:val="2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9B44EBA">
                    <w:pPr>
                      <w:pStyle w:val="21"/>
                    </w:pPr>
                    <w:r>
                      <w:fldChar w:fldCharType="begin"/>
                    </w:r>
                    <w:r>
                      <w:instrText xml:space="preserve"> PAGE  \* MERGEFORMAT </w:instrText>
                    </w:r>
                    <w:r>
                      <w:fldChar w:fldCharType="separate"/>
                    </w:r>
                    <w:r>
                      <w:t>23</w:t>
                    </w:r>
                    <w:r>
                      <w:fldChar w:fldCharType="end"/>
                    </w:r>
                  </w:p>
                </w:txbxContent>
              </v:textbox>
            </v:shape>
          </w:pict>
        </mc:Fallback>
      </mc:AlternateContent>
    </w: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F56726A"/>
                      </w:txbxContent>
                    </wps:txbx>
                    <wps:bodyPr wrap="none" lIns="0" tIns="0" rIns="0" bIns="0">
                      <a:spAutoFit/>
                    </wps:bodyPr>
                  </wps:wsp>
                </a:graphicData>
              </a:graphic>
            </wp:anchor>
          </w:drawing>
        </mc:Choice>
        <mc:Fallback>
          <w:pict>
            <v:shape id="文本框 12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i9QzHxgEAAJ4DAAAOAAAAAAAAAAEAIAAAAB4BAABkcnMvZTJvRG9jLnht&#10;bFBLBQYAAAAABgAGAFkBAABWBQAAAAA=&#10;">
              <v:fill on="f" focussize="0,0"/>
              <v:stroke on="f"/>
              <v:imagedata o:title=""/>
              <o:lock v:ext="edit" aspectratio="f"/>
              <v:textbox inset="0mm,0mm,0mm,0mm" style="mso-fit-shape-to-text:t;">
                <w:txbxContent>
                  <w:p w14:paraId="2F56726A"/>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5647055</wp:posOffset>
              </wp:positionH>
              <wp:positionV relativeFrom="page">
                <wp:posOffset>9914890</wp:posOffset>
              </wp:positionV>
              <wp:extent cx="750570" cy="152400"/>
              <wp:effectExtent l="0" t="0" r="0" b="0"/>
              <wp:wrapNone/>
              <wp:docPr id="7" name="文本框 101"/>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1917736F">
                          <w:pPr>
                            <w:spacing w:before="12"/>
                            <w:ind w:left="20"/>
                            <w:rPr>
                              <w:rFonts w:ascii="Times New Roman"/>
                              <w:sz w:val="18"/>
                            </w:rPr>
                          </w:pPr>
                        </w:p>
                      </w:txbxContent>
                    </wps:txbx>
                    <wps:bodyPr lIns="0" tIns="0" rIns="0" bIns="0" upright="1"/>
                  </wps:wsp>
                </a:graphicData>
              </a:graphic>
            </wp:anchor>
          </w:drawing>
        </mc:Choice>
        <mc:Fallback>
          <w:pict>
            <v:shape id="文本框 101" o:spid="_x0000_s1026" o:spt="202" type="#_x0000_t202" style="position:absolute;left:0pt;margin-left:444.65pt;margin-top:780.7pt;height:12pt;width:59.1pt;mso-position-horizontal-relative:page;mso-position-vertical-relative:page;z-index:-251656192;mso-width-relative:page;mso-height-relative:page;" filled="f" stroked="f" coordsize="21600,21600" o:gfxdata="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Y+//bAAAADgEAAA8AAAAAAAAAAQAgAAAAIgAAAGRycy9kb3ducmV2&#10;LnhtbFBLAQIUABQAAAAIAIdO4kBh4K/zwAEAAIEDAAAOAAAAAAAAAAEAIAAAACoBAABkcnMvZTJv&#10;RG9jLnhtbFBLBQYAAAAABgAGAFkBAABcBQAAAAA=&#10;">
              <v:fill on="f" focussize="0,0"/>
              <v:stroke on="f"/>
              <v:imagedata o:title=""/>
              <o:lock v:ext="edit" aspectratio="f"/>
              <v:textbox inset="0mm,0mm,0mm,0mm">
                <w:txbxContent>
                  <w:p w14:paraId="1917736F">
                    <w:pPr>
                      <w:spacing w:before="12"/>
                      <w:ind w:left="20"/>
                      <w:rPr>
                        <w:rFonts w:ascii="Times New Roman"/>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7B24E">
    <w:pPr>
      <w:pStyle w:val="11"/>
      <w:spacing w:line="14" w:lineRule="auto"/>
      <w:rPr>
        <w:sz w:val="20"/>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8E9FF">
                          <w:pPr>
                            <w:pStyle w:val="2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B78E9FF">
                    <w:pPr>
                      <w:pStyle w:val="21"/>
                    </w:pPr>
                    <w:r>
                      <w:fldChar w:fldCharType="begin"/>
                    </w:r>
                    <w:r>
                      <w:instrText xml:space="preserve"> PAGE  \* MERGEFORMAT </w:instrText>
                    </w:r>
                    <w:r>
                      <w:fldChar w:fldCharType="separate"/>
                    </w:r>
                    <w:r>
                      <w:t>36</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5647055</wp:posOffset>
              </wp:positionH>
              <wp:positionV relativeFrom="page">
                <wp:posOffset>9914890</wp:posOffset>
              </wp:positionV>
              <wp:extent cx="750570" cy="152400"/>
              <wp:effectExtent l="0" t="0" r="0" b="0"/>
              <wp:wrapNone/>
              <wp:docPr id="8" name="文本框 107"/>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734962F5">
                          <w:pPr>
                            <w:spacing w:before="12"/>
                            <w:ind w:left="20"/>
                            <w:rPr>
                              <w:rFonts w:ascii="Times New Roman"/>
                              <w:sz w:val="18"/>
                            </w:rPr>
                          </w:pPr>
                        </w:p>
                      </w:txbxContent>
                    </wps:txbx>
                    <wps:bodyPr lIns="0" tIns="0" rIns="0" bIns="0" upright="1"/>
                  </wps:wsp>
                </a:graphicData>
              </a:graphic>
            </wp:anchor>
          </w:drawing>
        </mc:Choice>
        <mc:Fallback>
          <w:pict>
            <v:shape id="文本框 107" o:spid="_x0000_s1026" o:spt="202" type="#_x0000_t202" style="position:absolute;left:0pt;margin-left:444.65pt;margin-top:780.7pt;height:12pt;width:59.1pt;mso-position-horizontal-relative:page;mso-position-vertical-relative:page;z-index:-251655168;mso-width-relative:page;mso-height-relative:page;" filled="f" stroked="f" coordsize="21600,21600" o:gfxdata="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Y+//bAAAADgEAAA8AAAAAAAAAAQAgAAAAIgAAAGRycy9kb3ducmV2&#10;LnhtbFBLAQIUABQAAAAIAIdO4kDIrHkIwAEAAIEDAAAOAAAAAAAAAAEAIAAAACoBAABkcnMvZTJv&#10;RG9jLnhtbFBLBQYAAAAABgAGAFkBAABcBQAAAAA=&#10;">
              <v:fill on="f" focussize="0,0"/>
              <v:stroke on="f"/>
              <v:imagedata o:title=""/>
              <o:lock v:ext="edit" aspectratio="f"/>
              <v:textbox inset="0mm,0mm,0mm,0mm">
                <w:txbxContent>
                  <w:p w14:paraId="734962F5">
                    <w:pPr>
                      <w:spacing w:before="12"/>
                      <w:ind w:left="20"/>
                      <w:rPr>
                        <w:rFonts w:ascii="Times New Roman"/>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ADC3">
    <w:pPr>
      <w:pStyle w:val="11"/>
      <w:spacing w:line="14" w:lineRule="auto"/>
      <w:rPr>
        <w:sz w:val="20"/>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91CED">
                          <w:pPr>
                            <w:pStyle w:val="2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6E91CED">
                    <w:pPr>
                      <w:pStyle w:val="21"/>
                    </w:pPr>
                    <w:r>
                      <w:fldChar w:fldCharType="begin"/>
                    </w:r>
                    <w:r>
                      <w:instrText xml:space="preserve"> PAGE  \* MERGEFORMAT </w:instrText>
                    </w:r>
                    <w:r>
                      <w:fldChar w:fldCharType="separate"/>
                    </w:r>
                    <w:r>
                      <w:t>46</w:t>
                    </w:r>
                    <w:r>
                      <w:fldChar w:fldCharType="end"/>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5647055</wp:posOffset>
              </wp:positionH>
              <wp:positionV relativeFrom="page">
                <wp:posOffset>9914890</wp:posOffset>
              </wp:positionV>
              <wp:extent cx="750570" cy="152400"/>
              <wp:effectExtent l="0" t="0" r="0" b="0"/>
              <wp:wrapNone/>
              <wp:docPr id="9" name="文本框 113"/>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34A0041B">
                          <w:pPr>
                            <w:spacing w:before="12"/>
                            <w:ind w:left="20"/>
                            <w:rPr>
                              <w:rFonts w:ascii="Times New Roman"/>
                              <w:sz w:val="18"/>
                            </w:rPr>
                          </w:pPr>
                        </w:p>
                      </w:txbxContent>
                    </wps:txbx>
                    <wps:bodyPr lIns="0" tIns="0" rIns="0" bIns="0" upright="1"/>
                  </wps:wsp>
                </a:graphicData>
              </a:graphic>
            </wp:anchor>
          </w:drawing>
        </mc:Choice>
        <mc:Fallback>
          <w:pict>
            <v:shape id="文本框 113" o:spid="_x0000_s1026" o:spt="202" type="#_x0000_t202" style="position:absolute;left:0pt;margin-left:444.65pt;margin-top:780.7pt;height:12pt;width:59.1pt;mso-position-horizontal-relative:page;mso-position-vertical-relative:page;z-index:-251654144;mso-width-relative:page;mso-height-relative:page;" filled="f" stroked="f" coordsize="21600,21600" o:gfxdata="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Y+//bAAAADgEAAA8AAAAAAAAAAQAgAAAAIgAAAGRycy9kb3ducmV2&#10;LnhtbFBLAQIUABQAAAAIAIdO4kB26T0owAEAAIEDAAAOAAAAAAAAAAEAIAAAACoBAABkcnMvZTJv&#10;RG9jLnhtbFBLBQYAAAAABgAGAFkBAABcBQAAAAA=&#10;">
              <v:fill on="f" focussize="0,0"/>
              <v:stroke on="f"/>
              <v:imagedata o:title=""/>
              <o:lock v:ext="edit" aspectratio="f"/>
              <v:textbox inset="0mm,0mm,0mm,0mm">
                <w:txbxContent>
                  <w:p w14:paraId="34A0041B">
                    <w:pPr>
                      <w:spacing w:before="12"/>
                      <w:ind w:left="20"/>
                      <w:rPr>
                        <w:rFonts w:ascii="Times New Roman"/>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FAB17">
    <w:pPr>
      <w:pStyle w:val="11"/>
      <w:pBdr>
        <w:bottom w:val="none" w:color="auto" w:sz="0" w:space="0"/>
      </w:pBd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AEE3">
    <w:pPr>
      <w:pStyle w:val="1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F0850"/>
    <w:multiLevelType w:val="singleLevel"/>
    <w:tmpl w:val="D51F0850"/>
    <w:lvl w:ilvl="0" w:tentative="0">
      <w:start w:val="9"/>
      <w:numFmt w:val="decimal"/>
      <w:suff w:val="space"/>
      <w:lvlText w:val="%1."/>
      <w:lvlJc w:val="left"/>
    </w:lvl>
  </w:abstractNum>
  <w:abstractNum w:abstractNumId="1">
    <w:nsid w:val="D9B65395"/>
    <w:multiLevelType w:val="singleLevel"/>
    <w:tmpl w:val="D9B65395"/>
    <w:lvl w:ilvl="0" w:tentative="0">
      <w:start w:val="1"/>
      <w:numFmt w:val="decimal"/>
      <w:lvlText w:val="%1."/>
      <w:lvlJc w:val="left"/>
      <w:pPr>
        <w:tabs>
          <w:tab w:val="left" w:pos="312"/>
        </w:tabs>
      </w:pPr>
    </w:lvl>
  </w:abstractNum>
  <w:abstractNum w:abstractNumId="2">
    <w:nsid w:val="026B5530"/>
    <w:multiLevelType w:val="singleLevel"/>
    <w:tmpl w:val="026B5530"/>
    <w:lvl w:ilvl="0" w:tentative="0">
      <w:start w:val="6"/>
      <w:numFmt w:val="decimal"/>
      <w:suff w:val="space"/>
      <w:lvlText w:val="%1."/>
      <w:lvlJc w:val="left"/>
    </w:lvl>
  </w:abstractNum>
  <w:abstractNum w:abstractNumId="3">
    <w:nsid w:val="73CE56EA"/>
    <w:multiLevelType w:val="singleLevel"/>
    <w:tmpl w:val="73CE56EA"/>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NGFkODk0MTViMGUxMzU3YzU4ZTYwNjU3YzM2NzcifQ=="/>
  </w:docVars>
  <w:rsids>
    <w:rsidRoot w:val="005D3CF1"/>
    <w:rsid w:val="00001965"/>
    <w:rsid w:val="00021D39"/>
    <w:rsid w:val="000536F8"/>
    <w:rsid w:val="00063081"/>
    <w:rsid w:val="000848BF"/>
    <w:rsid w:val="0008495B"/>
    <w:rsid w:val="0008713B"/>
    <w:rsid w:val="00092B14"/>
    <w:rsid w:val="000A1BCA"/>
    <w:rsid w:val="000C432B"/>
    <w:rsid w:val="000D0C9D"/>
    <w:rsid w:val="0011290E"/>
    <w:rsid w:val="00125160"/>
    <w:rsid w:val="00171265"/>
    <w:rsid w:val="00176FE9"/>
    <w:rsid w:val="001F71A7"/>
    <w:rsid w:val="002103DE"/>
    <w:rsid w:val="00226E13"/>
    <w:rsid w:val="00235728"/>
    <w:rsid w:val="002A3477"/>
    <w:rsid w:val="002B7E5C"/>
    <w:rsid w:val="002C5DC4"/>
    <w:rsid w:val="002D2AD9"/>
    <w:rsid w:val="002F28EA"/>
    <w:rsid w:val="00300F43"/>
    <w:rsid w:val="00313B87"/>
    <w:rsid w:val="00333A43"/>
    <w:rsid w:val="003466FB"/>
    <w:rsid w:val="00381C4B"/>
    <w:rsid w:val="003A008B"/>
    <w:rsid w:val="003C55E8"/>
    <w:rsid w:val="003D6775"/>
    <w:rsid w:val="003F504F"/>
    <w:rsid w:val="003F53AB"/>
    <w:rsid w:val="0044257C"/>
    <w:rsid w:val="00443D43"/>
    <w:rsid w:val="004503B9"/>
    <w:rsid w:val="00457E47"/>
    <w:rsid w:val="0046157B"/>
    <w:rsid w:val="00463D57"/>
    <w:rsid w:val="004661CF"/>
    <w:rsid w:val="00476244"/>
    <w:rsid w:val="004905D8"/>
    <w:rsid w:val="004957C4"/>
    <w:rsid w:val="004C729F"/>
    <w:rsid w:val="004D3B38"/>
    <w:rsid w:val="00514FF3"/>
    <w:rsid w:val="00516CD4"/>
    <w:rsid w:val="005539A0"/>
    <w:rsid w:val="00555F0B"/>
    <w:rsid w:val="00566E7F"/>
    <w:rsid w:val="00566F89"/>
    <w:rsid w:val="0058267F"/>
    <w:rsid w:val="00591D4A"/>
    <w:rsid w:val="005B5EA6"/>
    <w:rsid w:val="005D0AC3"/>
    <w:rsid w:val="005D3CF1"/>
    <w:rsid w:val="005F1753"/>
    <w:rsid w:val="0065563A"/>
    <w:rsid w:val="00664718"/>
    <w:rsid w:val="00666B26"/>
    <w:rsid w:val="00672918"/>
    <w:rsid w:val="006A0FBB"/>
    <w:rsid w:val="006A344E"/>
    <w:rsid w:val="006D37ED"/>
    <w:rsid w:val="006E41CA"/>
    <w:rsid w:val="00702FCA"/>
    <w:rsid w:val="00711E7E"/>
    <w:rsid w:val="00722D01"/>
    <w:rsid w:val="00730BB3"/>
    <w:rsid w:val="00764F78"/>
    <w:rsid w:val="00765E38"/>
    <w:rsid w:val="00770031"/>
    <w:rsid w:val="00786675"/>
    <w:rsid w:val="00787C07"/>
    <w:rsid w:val="00795D6A"/>
    <w:rsid w:val="007A11FA"/>
    <w:rsid w:val="007B4800"/>
    <w:rsid w:val="007E218B"/>
    <w:rsid w:val="007E2E2F"/>
    <w:rsid w:val="00853ABB"/>
    <w:rsid w:val="0085642C"/>
    <w:rsid w:val="008A1652"/>
    <w:rsid w:val="008F0CBA"/>
    <w:rsid w:val="008F4BF6"/>
    <w:rsid w:val="00960683"/>
    <w:rsid w:val="00966DC6"/>
    <w:rsid w:val="00997CAD"/>
    <w:rsid w:val="009A63EB"/>
    <w:rsid w:val="009F7084"/>
    <w:rsid w:val="00A051A9"/>
    <w:rsid w:val="00A21350"/>
    <w:rsid w:val="00A37902"/>
    <w:rsid w:val="00A54A31"/>
    <w:rsid w:val="00A5721D"/>
    <w:rsid w:val="00A702A5"/>
    <w:rsid w:val="00AA62BF"/>
    <w:rsid w:val="00B05601"/>
    <w:rsid w:val="00B257D5"/>
    <w:rsid w:val="00B57CE3"/>
    <w:rsid w:val="00B80D8A"/>
    <w:rsid w:val="00BB5300"/>
    <w:rsid w:val="00C1598E"/>
    <w:rsid w:val="00C515E1"/>
    <w:rsid w:val="00C70984"/>
    <w:rsid w:val="00C932D4"/>
    <w:rsid w:val="00C94B5F"/>
    <w:rsid w:val="00CD20C7"/>
    <w:rsid w:val="00CF3B91"/>
    <w:rsid w:val="00CF7D7C"/>
    <w:rsid w:val="00D12BEB"/>
    <w:rsid w:val="00D500E7"/>
    <w:rsid w:val="00D51C34"/>
    <w:rsid w:val="00D6359C"/>
    <w:rsid w:val="00D97A55"/>
    <w:rsid w:val="00DD0B06"/>
    <w:rsid w:val="00DD7A31"/>
    <w:rsid w:val="00DF20F7"/>
    <w:rsid w:val="00E13359"/>
    <w:rsid w:val="00E36056"/>
    <w:rsid w:val="00E37761"/>
    <w:rsid w:val="00E50FF3"/>
    <w:rsid w:val="00E66BED"/>
    <w:rsid w:val="00E947A8"/>
    <w:rsid w:val="00E96C91"/>
    <w:rsid w:val="00EB57E3"/>
    <w:rsid w:val="00EE7CE9"/>
    <w:rsid w:val="00EF50D7"/>
    <w:rsid w:val="00F2377D"/>
    <w:rsid w:val="00F40FC7"/>
    <w:rsid w:val="00F83ECC"/>
    <w:rsid w:val="00F85713"/>
    <w:rsid w:val="00F87A56"/>
    <w:rsid w:val="00FB1776"/>
    <w:rsid w:val="00FE36CF"/>
    <w:rsid w:val="00FF22CA"/>
    <w:rsid w:val="00FF43EA"/>
    <w:rsid w:val="011258D8"/>
    <w:rsid w:val="011E25CA"/>
    <w:rsid w:val="01891B53"/>
    <w:rsid w:val="019946F7"/>
    <w:rsid w:val="01B670CE"/>
    <w:rsid w:val="01E266D8"/>
    <w:rsid w:val="024E4B4B"/>
    <w:rsid w:val="027D45AE"/>
    <w:rsid w:val="02C45587"/>
    <w:rsid w:val="02F80C7F"/>
    <w:rsid w:val="03DB19B7"/>
    <w:rsid w:val="03E85489"/>
    <w:rsid w:val="03FD05D6"/>
    <w:rsid w:val="040354C1"/>
    <w:rsid w:val="041615D4"/>
    <w:rsid w:val="04A00B0E"/>
    <w:rsid w:val="04E233BF"/>
    <w:rsid w:val="05357E4B"/>
    <w:rsid w:val="057B742F"/>
    <w:rsid w:val="058058AC"/>
    <w:rsid w:val="05DC2E2C"/>
    <w:rsid w:val="06862B05"/>
    <w:rsid w:val="06AE1771"/>
    <w:rsid w:val="072702BE"/>
    <w:rsid w:val="07866B35"/>
    <w:rsid w:val="07E21FBD"/>
    <w:rsid w:val="08386081"/>
    <w:rsid w:val="08CA553C"/>
    <w:rsid w:val="08E250C3"/>
    <w:rsid w:val="08FB2C0B"/>
    <w:rsid w:val="0969226A"/>
    <w:rsid w:val="0977510F"/>
    <w:rsid w:val="09791D2D"/>
    <w:rsid w:val="09A926ED"/>
    <w:rsid w:val="09D2734D"/>
    <w:rsid w:val="09D36EE3"/>
    <w:rsid w:val="0AAE0F84"/>
    <w:rsid w:val="0AB71E4F"/>
    <w:rsid w:val="0AD35FF6"/>
    <w:rsid w:val="0AE61F1B"/>
    <w:rsid w:val="0BE4687B"/>
    <w:rsid w:val="0BFF6A3E"/>
    <w:rsid w:val="0C6D2071"/>
    <w:rsid w:val="0CF12BE2"/>
    <w:rsid w:val="0D755681"/>
    <w:rsid w:val="0DA96243"/>
    <w:rsid w:val="0E135692"/>
    <w:rsid w:val="0E1441A5"/>
    <w:rsid w:val="0E1D24B7"/>
    <w:rsid w:val="0E303356"/>
    <w:rsid w:val="0EE321AD"/>
    <w:rsid w:val="0F4B0D5F"/>
    <w:rsid w:val="0FF36F3F"/>
    <w:rsid w:val="10210979"/>
    <w:rsid w:val="10512913"/>
    <w:rsid w:val="114F0FFF"/>
    <w:rsid w:val="1164759D"/>
    <w:rsid w:val="117C7E80"/>
    <w:rsid w:val="11EE508D"/>
    <w:rsid w:val="11EF7262"/>
    <w:rsid w:val="11F62802"/>
    <w:rsid w:val="121D2F31"/>
    <w:rsid w:val="121E7D94"/>
    <w:rsid w:val="127A1044"/>
    <w:rsid w:val="12977E48"/>
    <w:rsid w:val="129A49A0"/>
    <w:rsid w:val="131E5A9E"/>
    <w:rsid w:val="133548C4"/>
    <w:rsid w:val="13C44583"/>
    <w:rsid w:val="13CC4726"/>
    <w:rsid w:val="13DD188A"/>
    <w:rsid w:val="13FF3EF7"/>
    <w:rsid w:val="14180B62"/>
    <w:rsid w:val="14301327"/>
    <w:rsid w:val="143D67CD"/>
    <w:rsid w:val="145B4FF8"/>
    <w:rsid w:val="149125BC"/>
    <w:rsid w:val="15572122"/>
    <w:rsid w:val="155A2E85"/>
    <w:rsid w:val="159D0A5A"/>
    <w:rsid w:val="15EE7612"/>
    <w:rsid w:val="160A3BB9"/>
    <w:rsid w:val="16E25640"/>
    <w:rsid w:val="17373A4E"/>
    <w:rsid w:val="18522DE7"/>
    <w:rsid w:val="1889510C"/>
    <w:rsid w:val="18FE5ED0"/>
    <w:rsid w:val="19433732"/>
    <w:rsid w:val="194B373A"/>
    <w:rsid w:val="19A0626C"/>
    <w:rsid w:val="19EB1858"/>
    <w:rsid w:val="1A0A0EFF"/>
    <w:rsid w:val="1A6F7663"/>
    <w:rsid w:val="1A90440A"/>
    <w:rsid w:val="1AF11A00"/>
    <w:rsid w:val="1B036639"/>
    <w:rsid w:val="1B3B4654"/>
    <w:rsid w:val="1B73139E"/>
    <w:rsid w:val="1BDB2B53"/>
    <w:rsid w:val="1C0724F6"/>
    <w:rsid w:val="1C184D1E"/>
    <w:rsid w:val="1C6E7C99"/>
    <w:rsid w:val="1CA766C0"/>
    <w:rsid w:val="1CDD5C0E"/>
    <w:rsid w:val="1CE36B46"/>
    <w:rsid w:val="1D2B7B0B"/>
    <w:rsid w:val="1D8362A8"/>
    <w:rsid w:val="1DDB1775"/>
    <w:rsid w:val="1E0F4D36"/>
    <w:rsid w:val="1E3E386E"/>
    <w:rsid w:val="1E9D3840"/>
    <w:rsid w:val="1EAF25FF"/>
    <w:rsid w:val="1F2E76FD"/>
    <w:rsid w:val="1F562155"/>
    <w:rsid w:val="1F6317DE"/>
    <w:rsid w:val="1F6420D3"/>
    <w:rsid w:val="1FD467EB"/>
    <w:rsid w:val="1FD60C92"/>
    <w:rsid w:val="1FF47642"/>
    <w:rsid w:val="200D2B48"/>
    <w:rsid w:val="20281834"/>
    <w:rsid w:val="202F1B4C"/>
    <w:rsid w:val="20563AC3"/>
    <w:rsid w:val="20A54B27"/>
    <w:rsid w:val="20BE04D2"/>
    <w:rsid w:val="20D109C9"/>
    <w:rsid w:val="20D449F3"/>
    <w:rsid w:val="20EF06BF"/>
    <w:rsid w:val="20F876CC"/>
    <w:rsid w:val="215B0AC3"/>
    <w:rsid w:val="21956AE6"/>
    <w:rsid w:val="228A7081"/>
    <w:rsid w:val="22D93B65"/>
    <w:rsid w:val="22DB3D4C"/>
    <w:rsid w:val="235F406A"/>
    <w:rsid w:val="23E25852"/>
    <w:rsid w:val="240A1FE7"/>
    <w:rsid w:val="24AF3496"/>
    <w:rsid w:val="24B87B3D"/>
    <w:rsid w:val="25323867"/>
    <w:rsid w:val="253A3D31"/>
    <w:rsid w:val="2562185C"/>
    <w:rsid w:val="25627E42"/>
    <w:rsid w:val="25FA62CC"/>
    <w:rsid w:val="26294B76"/>
    <w:rsid w:val="269F5758"/>
    <w:rsid w:val="270064AA"/>
    <w:rsid w:val="27154857"/>
    <w:rsid w:val="274719E5"/>
    <w:rsid w:val="274A2F12"/>
    <w:rsid w:val="275D3E3F"/>
    <w:rsid w:val="27734588"/>
    <w:rsid w:val="27D759B1"/>
    <w:rsid w:val="284327BC"/>
    <w:rsid w:val="28477A22"/>
    <w:rsid w:val="28804EF9"/>
    <w:rsid w:val="28893937"/>
    <w:rsid w:val="28F67B48"/>
    <w:rsid w:val="29471828"/>
    <w:rsid w:val="296248B4"/>
    <w:rsid w:val="298D6D25"/>
    <w:rsid w:val="29A04881"/>
    <w:rsid w:val="29AD6A6D"/>
    <w:rsid w:val="29D82C22"/>
    <w:rsid w:val="2A104310"/>
    <w:rsid w:val="2A197F4B"/>
    <w:rsid w:val="2A214D3A"/>
    <w:rsid w:val="2AD2014A"/>
    <w:rsid w:val="2AD65675"/>
    <w:rsid w:val="2AD76A87"/>
    <w:rsid w:val="2B172B28"/>
    <w:rsid w:val="2B73792B"/>
    <w:rsid w:val="2BED1CD5"/>
    <w:rsid w:val="2C273564"/>
    <w:rsid w:val="2C3425D5"/>
    <w:rsid w:val="2C8D5204"/>
    <w:rsid w:val="2CAF6241"/>
    <w:rsid w:val="2CC24FCF"/>
    <w:rsid w:val="2D5B2D54"/>
    <w:rsid w:val="2DF47AA5"/>
    <w:rsid w:val="2E227DE8"/>
    <w:rsid w:val="2E235E37"/>
    <w:rsid w:val="2E3816B8"/>
    <w:rsid w:val="2E835E2E"/>
    <w:rsid w:val="2F6161AE"/>
    <w:rsid w:val="2F665BFE"/>
    <w:rsid w:val="2FEE3D6C"/>
    <w:rsid w:val="303A5CA4"/>
    <w:rsid w:val="30507F23"/>
    <w:rsid w:val="30D54803"/>
    <w:rsid w:val="30EC4235"/>
    <w:rsid w:val="317B2486"/>
    <w:rsid w:val="31825234"/>
    <w:rsid w:val="31976AA7"/>
    <w:rsid w:val="31B9703B"/>
    <w:rsid w:val="322748ED"/>
    <w:rsid w:val="32470AEB"/>
    <w:rsid w:val="32AA0237"/>
    <w:rsid w:val="32AB26CD"/>
    <w:rsid w:val="32FB3683"/>
    <w:rsid w:val="33672338"/>
    <w:rsid w:val="33821038"/>
    <w:rsid w:val="33B341C9"/>
    <w:rsid w:val="345F5692"/>
    <w:rsid w:val="350424C0"/>
    <w:rsid w:val="355D2576"/>
    <w:rsid w:val="359A53D6"/>
    <w:rsid w:val="35E32008"/>
    <w:rsid w:val="35F745D6"/>
    <w:rsid w:val="37342795"/>
    <w:rsid w:val="378A5776"/>
    <w:rsid w:val="37974BCE"/>
    <w:rsid w:val="37B540D7"/>
    <w:rsid w:val="3891610C"/>
    <w:rsid w:val="38B02257"/>
    <w:rsid w:val="39B61E11"/>
    <w:rsid w:val="3A6D4E67"/>
    <w:rsid w:val="3A6E1FC6"/>
    <w:rsid w:val="3AAB598F"/>
    <w:rsid w:val="3AC52EF5"/>
    <w:rsid w:val="3AF40B60"/>
    <w:rsid w:val="3AF630AE"/>
    <w:rsid w:val="3AF93F95"/>
    <w:rsid w:val="3B1802AB"/>
    <w:rsid w:val="3B826852"/>
    <w:rsid w:val="3B916AE6"/>
    <w:rsid w:val="3BB1464B"/>
    <w:rsid w:val="3C3C0B54"/>
    <w:rsid w:val="3C4D5D63"/>
    <w:rsid w:val="3C7F0E81"/>
    <w:rsid w:val="3CA72443"/>
    <w:rsid w:val="3CE07E08"/>
    <w:rsid w:val="3D4A1C2C"/>
    <w:rsid w:val="3D6951B8"/>
    <w:rsid w:val="3D8C6ADB"/>
    <w:rsid w:val="3D9C4613"/>
    <w:rsid w:val="3DBD3506"/>
    <w:rsid w:val="3E04323B"/>
    <w:rsid w:val="3E0870DF"/>
    <w:rsid w:val="3E971AA7"/>
    <w:rsid w:val="3ED626FD"/>
    <w:rsid w:val="3EDA3840"/>
    <w:rsid w:val="3EDC080D"/>
    <w:rsid w:val="3EDD6F31"/>
    <w:rsid w:val="3EE5536D"/>
    <w:rsid w:val="3F2A68F4"/>
    <w:rsid w:val="3F305B0C"/>
    <w:rsid w:val="3F7F5EC0"/>
    <w:rsid w:val="3F892743"/>
    <w:rsid w:val="3FA45C13"/>
    <w:rsid w:val="3FC50142"/>
    <w:rsid w:val="3FF75228"/>
    <w:rsid w:val="403370F6"/>
    <w:rsid w:val="40960F05"/>
    <w:rsid w:val="40A67324"/>
    <w:rsid w:val="413A5C05"/>
    <w:rsid w:val="41872CB2"/>
    <w:rsid w:val="41931B5A"/>
    <w:rsid w:val="41D8256A"/>
    <w:rsid w:val="41FE2691"/>
    <w:rsid w:val="42027CA0"/>
    <w:rsid w:val="42C972FA"/>
    <w:rsid w:val="433C4AAB"/>
    <w:rsid w:val="43475D21"/>
    <w:rsid w:val="434D7B18"/>
    <w:rsid w:val="43805043"/>
    <w:rsid w:val="4392593E"/>
    <w:rsid w:val="43F54DA9"/>
    <w:rsid w:val="44A43B7B"/>
    <w:rsid w:val="44C04C44"/>
    <w:rsid w:val="44E06B25"/>
    <w:rsid w:val="458051EF"/>
    <w:rsid w:val="45E0797C"/>
    <w:rsid w:val="460470C7"/>
    <w:rsid w:val="46756964"/>
    <w:rsid w:val="46D1677D"/>
    <w:rsid w:val="46E464B1"/>
    <w:rsid w:val="46F26E20"/>
    <w:rsid w:val="4712301E"/>
    <w:rsid w:val="476D294A"/>
    <w:rsid w:val="479C34E7"/>
    <w:rsid w:val="47A84793"/>
    <w:rsid w:val="47AB2BCF"/>
    <w:rsid w:val="47F15329"/>
    <w:rsid w:val="47FD6EB8"/>
    <w:rsid w:val="481C00C5"/>
    <w:rsid w:val="482E6861"/>
    <w:rsid w:val="4830602A"/>
    <w:rsid w:val="48AE4FC8"/>
    <w:rsid w:val="48C77E38"/>
    <w:rsid w:val="48F218CE"/>
    <w:rsid w:val="49211C3E"/>
    <w:rsid w:val="4931055C"/>
    <w:rsid w:val="497C6E74"/>
    <w:rsid w:val="49935F6C"/>
    <w:rsid w:val="49A03C5C"/>
    <w:rsid w:val="4A45022D"/>
    <w:rsid w:val="4ACA5C30"/>
    <w:rsid w:val="4B880AC0"/>
    <w:rsid w:val="4BCD1C09"/>
    <w:rsid w:val="4C207F2B"/>
    <w:rsid w:val="4C886D7D"/>
    <w:rsid w:val="4CD7068A"/>
    <w:rsid w:val="4D171FA4"/>
    <w:rsid w:val="4D734752"/>
    <w:rsid w:val="4DA877C5"/>
    <w:rsid w:val="4DBA60DB"/>
    <w:rsid w:val="4E1173D5"/>
    <w:rsid w:val="4E134968"/>
    <w:rsid w:val="4E901424"/>
    <w:rsid w:val="4EF676C9"/>
    <w:rsid w:val="4F18104D"/>
    <w:rsid w:val="4F7F76BE"/>
    <w:rsid w:val="4FB1257C"/>
    <w:rsid w:val="4FBB0DCF"/>
    <w:rsid w:val="5038161B"/>
    <w:rsid w:val="503B5B55"/>
    <w:rsid w:val="508746FF"/>
    <w:rsid w:val="5107796B"/>
    <w:rsid w:val="511F7873"/>
    <w:rsid w:val="515A00D5"/>
    <w:rsid w:val="5166346B"/>
    <w:rsid w:val="51B15B29"/>
    <w:rsid w:val="52371D6C"/>
    <w:rsid w:val="5254504E"/>
    <w:rsid w:val="5279600F"/>
    <w:rsid w:val="53220A8C"/>
    <w:rsid w:val="533D010D"/>
    <w:rsid w:val="533D04A2"/>
    <w:rsid w:val="535E75EB"/>
    <w:rsid w:val="53A742F4"/>
    <w:rsid w:val="546D7169"/>
    <w:rsid w:val="54BF40B9"/>
    <w:rsid w:val="54F40E44"/>
    <w:rsid w:val="552F56E3"/>
    <w:rsid w:val="555627E9"/>
    <w:rsid w:val="55885AAD"/>
    <w:rsid w:val="560828D8"/>
    <w:rsid w:val="5634357E"/>
    <w:rsid w:val="564927D4"/>
    <w:rsid w:val="56B34B7F"/>
    <w:rsid w:val="56F30894"/>
    <w:rsid w:val="571B7CE3"/>
    <w:rsid w:val="571C2784"/>
    <w:rsid w:val="57457D48"/>
    <w:rsid w:val="57825E34"/>
    <w:rsid w:val="57845D7B"/>
    <w:rsid w:val="57AA72A2"/>
    <w:rsid w:val="57C02876"/>
    <w:rsid w:val="57C540DC"/>
    <w:rsid w:val="57E76459"/>
    <w:rsid w:val="58184484"/>
    <w:rsid w:val="581D4EEB"/>
    <w:rsid w:val="58653850"/>
    <w:rsid w:val="58C40C2D"/>
    <w:rsid w:val="59045CA1"/>
    <w:rsid w:val="592878F7"/>
    <w:rsid w:val="59345D75"/>
    <w:rsid w:val="59B1455D"/>
    <w:rsid w:val="59B60181"/>
    <w:rsid w:val="59D31E49"/>
    <w:rsid w:val="59E66C5D"/>
    <w:rsid w:val="59EC5519"/>
    <w:rsid w:val="59F7359E"/>
    <w:rsid w:val="5B044F1C"/>
    <w:rsid w:val="5B581C8F"/>
    <w:rsid w:val="5BCB2D9C"/>
    <w:rsid w:val="5BD14DFE"/>
    <w:rsid w:val="5BDB44C4"/>
    <w:rsid w:val="5BE8122E"/>
    <w:rsid w:val="5C1F7D37"/>
    <w:rsid w:val="5C334455"/>
    <w:rsid w:val="5C3A3626"/>
    <w:rsid w:val="5C7F04DB"/>
    <w:rsid w:val="5CFC6CF4"/>
    <w:rsid w:val="5D252794"/>
    <w:rsid w:val="5E126BFB"/>
    <w:rsid w:val="5F5442D2"/>
    <w:rsid w:val="5FD70E51"/>
    <w:rsid w:val="5FDA4FF0"/>
    <w:rsid w:val="5FF64A72"/>
    <w:rsid w:val="60AF67FD"/>
    <w:rsid w:val="61ED5359"/>
    <w:rsid w:val="61F117CE"/>
    <w:rsid w:val="623065F6"/>
    <w:rsid w:val="632F368A"/>
    <w:rsid w:val="6361086B"/>
    <w:rsid w:val="63B24624"/>
    <w:rsid w:val="64797989"/>
    <w:rsid w:val="64915B1D"/>
    <w:rsid w:val="64992B79"/>
    <w:rsid w:val="64A26291"/>
    <w:rsid w:val="64CA2D32"/>
    <w:rsid w:val="65206DF6"/>
    <w:rsid w:val="654E019A"/>
    <w:rsid w:val="65E52EC0"/>
    <w:rsid w:val="66251F2C"/>
    <w:rsid w:val="66622AD4"/>
    <w:rsid w:val="6668396C"/>
    <w:rsid w:val="6672404B"/>
    <w:rsid w:val="66903B07"/>
    <w:rsid w:val="66AF572C"/>
    <w:rsid w:val="66B81B21"/>
    <w:rsid w:val="66C55968"/>
    <w:rsid w:val="670E5A62"/>
    <w:rsid w:val="6710610D"/>
    <w:rsid w:val="672220CF"/>
    <w:rsid w:val="67656D42"/>
    <w:rsid w:val="67E072F7"/>
    <w:rsid w:val="67EE5745"/>
    <w:rsid w:val="68464DC5"/>
    <w:rsid w:val="68491856"/>
    <w:rsid w:val="68646674"/>
    <w:rsid w:val="6871682B"/>
    <w:rsid w:val="68A549FE"/>
    <w:rsid w:val="690E628A"/>
    <w:rsid w:val="694D7A8E"/>
    <w:rsid w:val="69686883"/>
    <w:rsid w:val="699656C3"/>
    <w:rsid w:val="69CE0BCF"/>
    <w:rsid w:val="69CF604C"/>
    <w:rsid w:val="6A327846"/>
    <w:rsid w:val="6A334ED5"/>
    <w:rsid w:val="6A4D7EB2"/>
    <w:rsid w:val="6A502A07"/>
    <w:rsid w:val="6A8674D8"/>
    <w:rsid w:val="6A932E25"/>
    <w:rsid w:val="6A933BC6"/>
    <w:rsid w:val="6AA3365D"/>
    <w:rsid w:val="6ABB1FAF"/>
    <w:rsid w:val="6AE10DD5"/>
    <w:rsid w:val="6AE67665"/>
    <w:rsid w:val="6B150BE5"/>
    <w:rsid w:val="6B2807B2"/>
    <w:rsid w:val="6B2E48C7"/>
    <w:rsid w:val="6B2F61DD"/>
    <w:rsid w:val="6B567508"/>
    <w:rsid w:val="6B5F61D6"/>
    <w:rsid w:val="6B6F4884"/>
    <w:rsid w:val="6B9C5C0D"/>
    <w:rsid w:val="6BB10285"/>
    <w:rsid w:val="6BCD7A52"/>
    <w:rsid w:val="6BCE5D90"/>
    <w:rsid w:val="6BDF5315"/>
    <w:rsid w:val="6CCA3523"/>
    <w:rsid w:val="6CD31364"/>
    <w:rsid w:val="6D404778"/>
    <w:rsid w:val="6E216139"/>
    <w:rsid w:val="6E2804B1"/>
    <w:rsid w:val="6E7D482F"/>
    <w:rsid w:val="6FD809F9"/>
    <w:rsid w:val="702B3714"/>
    <w:rsid w:val="706B688A"/>
    <w:rsid w:val="70DB5991"/>
    <w:rsid w:val="70EE1B56"/>
    <w:rsid w:val="715045BF"/>
    <w:rsid w:val="717C7162"/>
    <w:rsid w:val="72637B9F"/>
    <w:rsid w:val="72787BF9"/>
    <w:rsid w:val="72B10273"/>
    <w:rsid w:val="72C5665D"/>
    <w:rsid w:val="72FF6166"/>
    <w:rsid w:val="737F3F53"/>
    <w:rsid w:val="73846880"/>
    <w:rsid w:val="738525B7"/>
    <w:rsid w:val="73B47087"/>
    <w:rsid w:val="73C4291C"/>
    <w:rsid w:val="74253AE1"/>
    <w:rsid w:val="74387CB8"/>
    <w:rsid w:val="748644FF"/>
    <w:rsid w:val="74D30C9A"/>
    <w:rsid w:val="75104791"/>
    <w:rsid w:val="757765BE"/>
    <w:rsid w:val="75D41399"/>
    <w:rsid w:val="760C4635"/>
    <w:rsid w:val="764829CE"/>
    <w:rsid w:val="76E3626C"/>
    <w:rsid w:val="77316F00"/>
    <w:rsid w:val="778E5E41"/>
    <w:rsid w:val="77BD6323"/>
    <w:rsid w:val="77C35BC7"/>
    <w:rsid w:val="77C9479C"/>
    <w:rsid w:val="77F71288"/>
    <w:rsid w:val="78056103"/>
    <w:rsid w:val="781826F4"/>
    <w:rsid w:val="789254BD"/>
    <w:rsid w:val="78AB3CDA"/>
    <w:rsid w:val="79094D86"/>
    <w:rsid w:val="793C5C46"/>
    <w:rsid w:val="796A3F9F"/>
    <w:rsid w:val="796D07C2"/>
    <w:rsid w:val="796F78F3"/>
    <w:rsid w:val="79762121"/>
    <w:rsid w:val="79764DDF"/>
    <w:rsid w:val="79E14F49"/>
    <w:rsid w:val="7A0F4513"/>
    <w:rsid w:val="7A2B3E1B"/>
    <w:rsid w:val="7ADA324A"/>
    <w:rsid w:val="7B516B3D"/>
    <w:rsid w:val="7BA27A58"/>
    <w:rsid w:val="7C4D64E0"/>
    <w:rsid w:val="7CA852AF"/>
    <w:rsid w:val="7CC16E03"/>
    <w:rsid w:val="7D252DA4"/>
    <w:rsid w:val="7D50746C"/>
    <w:rsid w:val="7D5B0909"/>
    <w:rsid w:val="7D80102F"/>
    <w:rsid w:val="7E307C52"/>
    <w:rsid w:val="7E7D055C"/>
    <w:rsid w:val="7EE92460"/>
    <w:rsid w:val="7F1E3F4E"/>
    <w:rsid w:val="7FD7057F"/>
    <w:rsid w:val="7FE239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iPriority="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38"/>
      <w:ind w:left="1"/>
      <w:jc w:val="center"/>
      <w:outlineLvl w:val="0"/>
    </w:pPr>
    <w:rPr>
      <w:b/>
      <w:bCs/>
      <w:sz w:val="44"/>
      <w:szCs w:val="44"/>
    </w:rPr>
  </w:style>
  <w:style w:type="paragraph" w:styleId="3">
    <w:name w:val="heading 2"/>
    <w:basedOn w:val="1"/>
    <w:next w:val="1"/>
    <w:link w:val="93"/>
    <w:qFormat/>
    <w:uiPriority w:val="1"/>
    <w:pPr>
      <w:spacing w:before="1"/>
      <w:ind w:left="3" w:right="1"/>
      <w:jc w:val="center"/>
      <w:outlineLvl w:val="1"/>
    </w:pPr>
    <w:rPr>
      <w:sz w:val="28"/>
      <w:szCs w:val="28"/>
    </w:rPr>
  </w:style>
  <w:style w:type="paragraph" w:styleId="4">
    <w:name w:val="heading 3"/>
    <w:basedOn w:val="1"/>
    <w:next w:val="1"/>
    <w:qFormat/>
    <w:uiPriority w:val="1"/>
    <w:pPr>
      <w:spacing w:before="66"/>
      <w:ind w:left="6"/>
      <w:jc w:val="center"/>
      <w:outlineLvl w:val="2"/>
    </w:pPr>
    <w:rPr>
      <w:b/>
      <w:bCs/>
      <w:sz w:val="24"/>
      <w:szCs w:val="24"/>
    </w:rPr>
  </w:style>
  <w:style w:type="paragraph" w:styleId="5">
    <w:name w:val="heading 4"/>
    <w:basedOn w:val="1"/>
    <w:next w:val="1"/>
    <w:qFormat/>
    <w:uiPriority w:val="1"/>
    <w:pPr>
      <w:spacing w:before="145"/>
      <w:ind w:left="582"/>
      <w:outlineLvl w:val="3"/>
    </w:pPr>
    <w:rPr>
      <w:sz w:val="24"/>
      <w:szCs w:val="24"/>
    </w:rPr>
  </w:style>
  <w:style w:type="paragraph" w:styleId="6">
    <w:name w:val="heading 5"/>
    <w:basedOn w:val="1"/>
    <w:next w:val="1"/>
    <w:qFormat/>
    <w:uiPriority w:val="1"/>
    <w:pPr>
      <w:ind w:left="1184" w:hanging="422"/>
      <w:outlineLvl w:val="4"/>
    </w:pPr>
    <w:rPr>
      <w:b/>
      <w:bCs/>
      <w:sz w:val="21"/>
      <w:szCs w:val="21"/>
    </w:rPr>
  </w:style>
  <w:style w:type="paragraph" w:styleId="7">
    <w:name w:val="heading 6"/>
    <w:basedOn w:val="1"/>
    <w:next w:val="1"/>
    <w:qFormat/>
    <w:uiPriority w:val="1"/>
    <w:pPr>
      <w:spacing w:before="42"/>
      <w:outlineLvl w:val="5"/>
    </w:pPr>
    <w:rPr>
      <w:b/>
      <w:bCs/>
      <w:sz w:val="24"/>
      <w:szCs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firstLineChars="200"/>
    </w:pPr>
  </w:style>
  <w:style w:type="paragraph" w:styleId="9">
    <w:name w:val="annotation text"/>
    <w:basedOn w:val="1"/>
    <w:link w:val="67"/>
    <w:qFormat/>
    <w:uiPriority w:val="0"/>
  </w:style>
  <w:style w:type="paragraph" w:styleId="10">
    <w:name w:val="Body Text 3"/>
    <w:basedOn w:val="1"/>
    <w:qFormat/>
    <w:uiPriority w:val="0"/>
    <w:pPr>
      <w:spacing w:after="120" w:afterLines="0" w:line="440" w:lineRule="atLeast"/>
      <w:ind w:firstLine="482"/>
    </w:pPr>
    <w:rPr>
      <w:sz w:val="16"/>
      <w:szCs w:val="16"/>
    </w:rPr>
  </w:style>
  <w:style w:type="paragraph" w:styleId="11">
    <w:name w:val="Body Text"/>
    <w:basedOn w:val="1"/>
    <w:next w:val="12"/>
    <w:qFormat/>
    <w:uiPriority w:val="1"/>
    <w:rPr>
      <w:sz w:val="21"/>
      <w:szCs w:val="21"/>
    </w:rPr>
  </w:style>
  <w:style w:type="paragraph" w:styleId="1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Indent"/>
    <w:basedOn w:val="1"/>
    <w:next w:val="14"/>
    <w:qFormat/>
    <w:uiPriority w:val="0"/>
    <w:pPr>
      <w:spacing w:after="120"/>
      <w:ind w:left="420" w:leftChars="200"/>
    </w:pPr>
  </w:style>
  <w:style w:type="paragraph" w:styleId="14">
    <w:name w:val="envelope return"/>
    <w:basedOn w:val="1"/>
    <w:qFormat/>
    <w:uiPriority w:val="0"/>
    <w:pPr>
      <w:snapToGrid w:val="0"/>
    </w:pPr>
    <w:rPr>
      <w:rFonts w:ascii="Arial" w:hAnsi="Arial"/>
    </w:rPr>
  </w:style>
  <w:style w:type="paragraph" w:styleId="15">
    <w:name w:val="List 2"/>
    <w:basedOn w:val="1"/>
    <w:qFormat/>
    <w:uiPriority w:val="0"/>
    <w:pPr>
      <w:ind w:left="100" w:leftChars="200" w:hanging="200" w:hangingChars="200"/>
    </w:pPr>
    <w:rPr>
      <w:rFonts w:ascii="Times New Roman" w:hAnsi="Times New Roman" w:eastAsia="宋体" w:cs="Times New Roman"/>
    </w:rPr>
  </w:style>
  <w:style w:type="paragraph" w:styleId="16">
    <w:name w:val="toc 3"/>
    <w:basedOn w:val="1"/>
    <w:next w:val="1"/>
    <w:semiHidden/>
    <w:unhideWhenUsed/>
    <w:qFormat/>
    <w:uiPriority w:val="0"/>
    <w:pPr>
      <w:ind w:left="840" w:leftChars="400"/>
    </w:pPr>
  </w:style>
  <w:style w:type="paragraph" w:styleId="17">
    <w:name w:val="Plain Text"/>
    <w:basedOn w:val="1"/>
    <w:qFormat/>
    <w:uiPriority w:val="0"/>
    <w:rPr>
      <w:rFonts w:hAnsi="Courier New" w:cs="Courier New"/>
      <w:szCs w:val="21"/>
    </w:rPr>
  </w:style>
  <w:style w:type="paragraph" w:styleId="18">
    <w:name w:val="Date"/>
    <w:basedOn w:val="1"/>
    <w:next w:val="1"/>
    <w:qFormat/>
    <w:uiPriority w:val="0"/>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3"/>
    <w:qFormat/>
    <w:uiPriority w:val="0"/>
    <w:rPr>
      <w:sz w:val="18"/>
      <w:szCs w:val="18"/>
    </w:rPr>
  </w:style>
  <w:style w:type="paragraph" w:styleId="21">
    <w:name w:val="footer"/>
    <w:basedOn w:val="1"/>
    <w:qFormat/>
    <w:uiPriority w:val="0"/>
    <w:pPr>
      <w:tabs>
        <w:tab w:val="center" w:pos="4153"/>
        <w:tab w:val="right" w:pos="8306"/>
      </w:tabs>
      <w:snapToGrid w:val="0"/>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3">
    <w:name w:val="toc 1"/>
    <w:basedOn w:val="1"/>
    <w:next w:val="1"/>
    <w:qFormat/>
    <w:uiPriority w:val="1"/>
    <w:pPr>
      <w:spacing w:before="438"/>
      <w:ind w:left="342"/>
    </w:pPr>
    <w:rPr>
      <w:sz w:val="28"/>
      <w:szCs w:val="28"/>
    </w:rPr>
  </w:style>
  <w:style w:type="paragraph" w:styleId="24">
    <w:name w:val="footnote text"/>
    <w:basedOn w:val="1"/>
    <w:qFormat/>
    <w:uiPriority w:val="0"/>
    <w:pPr>
      <w:snapToGrid w:val="0"/>
    </w:pPr>
    <w:rPr>
      <w:rFonts w:ascii="Times New Roman" w:hAnsi="Times New Roman" w:cs="Times New Roman"/>
      <w:sz w:val="18"/>
    </w:rPr>
  </w:style>
  <w:style w:type="paragraph" w:styleId="25">
    <w:name w:val="toc 2"/>
    <w:basedOn w:val="1"/>
    <w:next w:val="1"/>
    <w:semiHidden/>
    <w:unhideWhenUsed/>
    <w:qFormat/>
    <w:uiPriority w:val="0"/>
    <w:pPr>
      <w:ind w:left="420" w:leftChars="200"/>
    </w:pPr>
  </w:style>
  <w:style w:type="paragraph" w:styleId="26">
    <w:name w:val="Body Text 2"/>
    <w:basedOn w:val="1"/>
    <w:next w:val="11"/>
    <w:qFormat/>
    <w:uiPriority w:val="0"/>
    <w:rPr>
      <w:rFonts w:ascii="Times New Roman" w:hAnsi="Times New Roman" w:eastAsia="楷体_GB2312" w:cs="Times New Roman"/>
      <w:sz w:val="32"/>
    </w:rPr>
  </w:style>
  <w:style w:type="paragraph" w:styleId="27">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28">
    <w:name w:val="Normal (Web)"/>
    <w:basedOn w:val="1"/>
    <w:qFormat/>
    <w:uiPriority w:val="0"/>
    <w:pPr>
      <w:spacing w:before="100" w:beforeAutospacing="1" w:after="100" w:afterAutospacing="1"/>
    </w:pPr>
    <w:rPr>
      <w:sz w:val="24"/>
    </w:rPr>
  </w:style>
  <w:style w:type="paragraph" w:styleId="29">
    <w:name w:val="annotation subject"/>
    <w:basedOn w:val="9"/>
    <w:next w:val="9"/>
    <w:link w:val="68"/>
    <w:qFormat/>
    <w:uiPriority w:val="0"/>
    <w:rPr>
      <w:b/>
      <w:bCs/>
    </w:rPr>
  </w:style>
  <w:style w:type="paragraph" w:styleId="30">
    <w:name w:val="Body Text First Indent"/>
    <w:basedOn w:val="11"/>
    <w:next w:val="21"/>
    <w:qFormat/>
    <w:uiPriority w:val="0"/>
    <w:pPr>
      <w:ind w:firstLine="420"/>
    </w:pPr>
    <w:rPr>
      <w:rFonts w:eastAsia="楷体_GB2312"/>
      <w:sz w:val="32"/>
    </w:rPr>
  </w:style>
  <w:style w:type="paragraph" w:styleId="31">
    <w:name w:val="Body Text First Indent 2"/>
    <w:basedOn w:val="13"/>
    <w:next w:val="1"/>
    <w:qFormat/>
    <w:uiPriority w:val="0"/>
    <w:pPr>
      <w:suppressAutoHyphens/>
      <w:ind w:firstLine="420" w:firstLineChars="200"/>
    </w:pPr>
    <w:rPr>
      <w:rFonts w:ascii="Arial" w:hAnsi="Arial"/>
      <w:kern w:val="3"/>
      <w:sz w:val="24"/>
    </w:rPr>
  </w:style>
  <w:style w:type="table" w:styleId="33">
    <w:name w:val="Table Grid"/>
    <w:basedOn w:val="3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basedOn w:val="34"/>
    <w:qFormat/>
    <w:uiPriority w:val="0"/>
    <w:rPr>
      <w:b/>
      <w:bCs/>
    </w:rPr>
  </w:style>
  <w:style w:type="character" w:styleId="36">
    <w:name w:val="page number"/>
    <w:qFormat/>
    <w:uiPriority w:val="0"/>
  </w:style>
  <w:style w:type="character" w:styleId="37">
    <w:name w:val="FollowedHyperlink"/>
    <w:basedOn w:val="34"/>
    <w:qFormat/>
    <w:uiPriority w:val="0"/>
    <w:rPr>
      <w:color w:val="333333"/>
      <w:u w:val="none"/>
    </w:rPr>
  </w:style>
  <w:style w:type="character" w:styleId="38">
    <w:name w:val="Emphasis"/>
    <w:basedOn w:val="34"/>
    <w:qFormat/>
    <w:uiPriority w:val="0"/>
    <w:rPr>
      <w:b/>
      <w:bCs/>
    </w:rPr>
  </w:style>
  <w:style w:type="character" w:styleId="39">
    <w:name w:val="HTML Definition"/>
    <w:basedOn w:val="34"/>
    <w:qFormat/>
    <w:uiPriority w:val="0"/>
  </w:style>
  <w:style w:type="character" w:styleId="40">
    <w:name w:val="HTML Typewriter"/>
    <w:basedOn w:val="34"/>
    <w:qFormat/>
    <w:uiPriority w:val="0"/>
    <w:rPr>
      <w:rFonts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u w:val="none"/>
    </w:rPr>
  </w:style>
  <w:style w:type="character" w:styleId="44">
    <w:name w:val="HTML Code"/>
    <w:basedOn w:val="34"/>
    <w:qFormat/>
    <w:uiPriority w:val="0"/>
    <w:rPr>
      <w:rFonts w:hint="default" w:ascii="monospace" w:hAnsi="monospace" w:eastAsia="monospace" w:cs="monospace"/>
      <w:sz w:val="20"/>
    </w:rPr>
  </w:style>
  <w:style w:type="character" w:styleId="45">
    <w:name w:val="annotation reference"/>
    <w:qFormat/>
    <w:uiPriority w:val="0"/>
    <w:rPr>
      <w:sz w:val="21"/>
      <w:szCs w:val="21"/>
    </w:rPr>
  </w:style>
  <w:style w:type="character" w:styleId="46">
    <w:name w:val="HTML Cite"/>
    <w:basedOn w:val="34"/>
    <w:qFormat/>
    <w:uiPriority w:val="0"/>
  </w:style>
  <w:style w:type="character" w:styleId="47">
    <w:name w:val="HTML Keyboard"/>
    <w:basedOn w:val="34"/>
    <w:qFormat/>
    <w:uiPriority w:val="0"/>
    <w:rPr>
      <w:rFonts w:hint="default" w:ascii="monospace" w:hAnsi="monospace" w:eastAsia="monospace" w:cs="monospace"/>
      <w:sz w:val="20"/>
    </w:rPr>
  </w:style>
  <w:style w:type="character" w:styleId="48">
    <w:name w:val="HTML Sample"/>
    <w:basedOn w:val="34"/>
    <w:qFormat/>
    <w:uiPriority w:val="0"/>
    <w:rPr>
      <w:rFonts w:hint="default" w:ascii="monospace" w:hAnsi="monospace" w:eastAsia="monospace" w:cs="monospace"/>
    </w:rPr>
  </w:style>
  <w:style w:type="paragraph" w:customStyle="1" w:styleId="49">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Char Char10 Char Char Char Char"/>
    <w:basedOn w:val="1"/>
    <w:next w:val="51"/>
    <w:qFormat/>
    <w:uiPriority w:val="0"/>
    <w:rPr>
      <w:rFonts w:ascii="Calibri" w:hAnsi="Calibri"/>
    </w:rPr>
  </w:style>
  <w:style w:type="paragraph" w:customStyle="1" w:styleId="51">
    <w:name w:val="xl87"/>
    <w:basedOn w:val="1"/>
    <w:next w:val="52"/>
    <w:qFormat/>
    <w:uiPriority w:val="0"/>
    <w:pPr>
      <w:widowControl/>
      <w:shd w:val="clear" w:color="FFFFFF" w:fill="FFFFFF"/>
      <w:spacing w:before="280" w:after="280"/>
      <w:jc w:val="right"/>
    </w:pPr>
    <w:rPr>
      <w:rFonts w:hAnsi="Calibri"/>
      <w:sz w:val="24"/>
    </w:rPr>
  </w:style>
  <w:style w:type="paragraph" w:customStyle="1" w:styleId="52">
    <w:name w:val="xl72"/>
    <w:basedOn w:val="1"/>
    <w:next w:val="18"/>
    <w:qFormat/>
    <w:uiPriority w:val="0"/>
    <w:pPr>
      <w:widowControl/>
      <w:shd w:val="clear" w:color="FFFFFF" w:fill="FFFFFF"/>
      <w:spacing w:before="280" w:after="280"/>
      <w:jc w:val="right"/>
    </w:pPr>
    <w:rPr>
      <w:rFonts w:hAnsi="Calibri"/>
      <w:sz w:val="24"/>
    </w:rPr>
  </w:style>
  <w:style w:type="paragraph" w:customStyle="1" w:styleId="53">
    <w:name w:val="style4"/>
    <w:basedOn w:val="1"/>
    <w:next w:val="54"/>
    <w:qFormat/>
    <w:uiPriority w:val="0"/>
    <w:pPr>
      <w:spacing w:before="280" w:after="280"/>
    </w:pPr>
    <w:rPr>
      <w:sz w:val="18"/>
    </w:rPr>
  </w:style>
  <w:style w:type="paragraph" w:customStyle="1" w:styleId="54">
    <w:name w:val="2"/>
    <w:next w:val="1"/>
    <w:qFormat/>
    <w:uiPriority w:val="0"/>
    <w:pPr>
      <w:widowControl w:val="0"/>
      <w:jc w:val="both"/>
    </w:pPr>
    <w:rPr>
      <w:rFonts w:ascii="Times New Roman" w:hAnsi="Times New Roman" w:eastAsia="宋体" w:cs="Times New Roman"/>
      <w:sz w:val="21"/>
      <w:szCs w:val="22"/>
      <w:lang w:val="en-US" w:eastAsia="zh-CN" w:bidi="ar-SA"/>
    </w:rPr>
  </w:style>
  <w:style w:type="table" w:customStyle="1" w:styleId="55">
    <w:name w:val="Table Normal"/>
    <w:semiHidden/>
    <w:unhideWhenUsed/>
    <w:qFormat/>
    <w:uiPriority w:val="2"/>
    <w:tblPr>
      <w:tblCellMar>
        <w:top w:w="0" w:type="dxa"/>
        <w:left w:w="0" w:type="dxa"/>
        <w:bottom w:w="0" w:type="dxa"/>
        <w:right w:w="0" w:type="dxa"/>
      </w:tblCellMar>
    </w:tblPr>
  </w:style>
  <w:style w:type="paragraph" w:styleId="56">
    <w:name w:val="List Paragraph"/>
    <w:basedOn w:val="1"/>
    <w:qFormat/>
    <w:uiPriority w:val="1"/>
    <w:pPr>
      <w:ind w:left="342" w:firstLine="420"/>
    </w:pPr>
  </w:style>
  <w:style w:type="paragraph" w:customStyle="1" w:styleId="57">
    <w:name w:val="Table Paragraph"/>
    <w:basedOn w:val="1"/>
    <w:qFormat/>
    <w:uiPriority w:val="1"/>
  </w:style>
  <w:style w:type="paragraph" w:customStyle="1" w:styleId="58">
    <w:name w:val="正文首行缩进 21"/>
    <w:basedOn w:val="13"/>
    <w:qFormat/>
    <w:uiPriority w:val="0"/>
    <w:pPr>
      <w:ind w:firstLine="420"/>
    </w:pPr>
  </w:style>
  <w:style w:type="paragraph" w:customStyle="1" w:styleId="59">
    <w:name w:val="UserStyle_4"/>
    <w:qFormat/>
    <w:uiPriority w:val="0"/>
    <w:rPr>
      <w:rFonts w:ascii="华文细黑" w:hAnsi="Times New Roman" w:eastAsia="华文细黑" w:cs="Times New Roman"/>
      <w:color w:val="000000"/>
      <w:sz w:val="24"/>
      <w:szCs w:val="24"/>
      <w:lang w:val="en-US" w:eastAsia="zh-CN" w:bidi="ar-SA"/>
    </w:rPr>
  </w:style>
  <w:style w:type="character" w:customStyle="1" w:styleId="60">
    <w:name w:val="NormalCharacter"/>
    <w:qFormat/>
    <w:uiPriority w:val="0"/>
    <w:rPr>
      <w:rFonts w:ascii="Times New Roman" w:hAnsi="Times New Roman" w:eastAsia="宋体"/>
    </w:rPr>
  </w:style>
  <w:style w:type="paragraph" w:customStyle="1" w:styleId="61">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62">
    <w:name w:val="WPSOffice手动目录 1"/>
    <w:qFormat/>
    <w:uiPriority w:val="0"/>
    <w:rPr>
      <w:rFonts w:asciiTheme="minorHAnsi" w:hAnsiTheme="minorHAnsi" w:eastAsiaTheme="minorHAnsi" w:cstheme="minorBidi"/>
      <w:lang w:val="en-US" w:eastAsia="zh-CN" w:bidi="ar-SA"/>
    </w:rPr>
  </w:style>
  <w:style w:type="paragraph" w:customStyle="1" w:styleId="63">
    <w:name w:val="WPSOffice手动目录 3"/>
    <w:qFormat/>
    <w:uiPriority w:val="0"/>
    <w:pPr>
      <w:ind w:left="400" w:leftChars="400"/>
    </w:pPr>
    <w:rPr>
      <w:rFonts w:asciiTheme="minorHAnsi" w:hAnsiTheme="minorHAnsi" w:eastAsiaTheme="minorHAnsi" w:cstheme="minorBidi"/>
      <w:lang w:val="en-US" w:eastAsia="zh-CN" w:bidi="ar-SA"/>
    </w:rPr>
  </w:style>
  <w:style w:type="character" w:customStyle="1" w:styleId="64">
    <w:name w:val="font81"/>
    <w:qFormat/>
    <w:uiPriority w:val="0"/>
    <w:rPr>
      <w:rFonts w:hint="eastAsia" w:ascii="仿宋" w:hAnsi="仿宋" w:eastAsia="仿宋" w:cs="仿宋"/>
      <w:color w:val="000000"/>
      <w:sz w:val="22"/>
      <w:szCs w:val="22"/>
      <w:u w:val="none"/>
    </w:rPr>
  </w:style>
  <w:style w:type="character" w:customStyle="1" w:styleId="65">
    <w:name w:val="font71"/>
    <w:qFormat/>
    <w:uiPriority w:val="0"/>
    <w:rPr>
      <w:rFonts w:hint="eastAsia" w:ascii="仿宋" w:hAnsi="仿宋" w:eastAsia="仿宋" w:cs="仿宋"/>
      <w:color w:val="000000"/>
      <w:sz w:val="22"/>
      <w:szCs w:val="22"/>
      <w:u w:val="none"/>
    </w:rPr>
  </w:style>
  <w:style w:type="paragraph" w:customStyle="1" w:styleId="66">
    <w:name w:val="*正文"/>
    <w:basedOn w:val="1"/>
    <w:next w:val="1"/>
    <w:qFormat/>
    <w:uiPriority w:val="0"/>
    <w:pPr>
      <w:widowControl/>
      <w:ind w:firstLine="482"/>
    </w:pPr>
    <w:rPr>
      <w:rFonts w:ascii="微软雅黑" w:hAnsi="微软雅黑" w:eastAsia="微软雅黑"/>
      <w:szCs w:val="20"/>
    </w:rPr>
  </w:style>
  <w:style w:type="character" w:customStyle="1" w:styleId="67">
    <w:name w:val="批注文字 Char"/>
    <w:basedOn w:val="34"/>
    <w:link w:val="9"/>
    <w:qFormat/>
    <w:uiPriority w:val="0"/>
    <w:rPr>
      <w:rFonts w:ascii="宋体" w:hAnsi="宋体" w:cs="宋体"/>
      <w:sz w:val="22"/>
      <w:szCs w:val="22"/>
      <w:lang w:eastAsia="en-US"/>
    </w:rPr>
  </w:style>
  <w:style w:type="character" w:customStyle="1" w:styleId="68">
    <w:name w:val="批注主题 Char"/>
    <w:basedOn w:val="67"/>
    <w:link w:val="29"/>
    <w:qFormat/>
    <w:uiPriority w:val="0"/>
    <w:rPr>
      <w:rFonts w:ascii="宋体" w:hAnsi="宋体" w:cs="宋体"/>
      <w:b/>
      <w:bCs/>
      <w:sz w:val="22"/>
      <w:szCs w:val="22"/>
      <w:lang w:eastAsia="en-US"/>
    </w:rPr>
  </w:style>
  <w:style w:type="character" w:customStyle="1" w:styleId="69">
    <w:name w:val="hover"/>
    <w:basedOn w:val="34"/>
    <w:qFormat/>
    <w:uiPriority w:val="0"/>
    <w:rPr>
      <w:color w:val="2590EB"/>
      <w:shd w:val="clear" w:color="auto" w:fill="E9F4FD"/>
    </w:rPr>
  </w:style>
  <w:style w:type="character" w:customStyle="1" w:styleId="70">
    <w:name w:val="hover1"/>
    <w:basedOn w:val="34"/>
    <w:qFormat/>
    <w:uiPriority w:val="0"/>
    <w:rPr>
      <w:color w:val="2590EB"/>
    </w:rPr>
  </w:style>
  <w:style w:type="character" w:customStyle="1" w:styleId="71">
    <w:name w:val="hover2"/>
    <w:basedOn w:val="34"/>
    <w:qFormat/>
    <w:uiPriority w:val="0"/>
    <w:rPr>
      <w:color w:val="2590EB"/>
    </w:rPr>
  </w:style>
  <w:style w:type="character" w:customStyle="1" w:styleId="72">
    <w:name w:val="hover3"/>
    <w:basedOn w:val="34"/>
    <w:qFormat/>
    <w:uiPriority w:val="0"/>
  </w:style>
  <w:style w:type="character" w:customStyle="1" w:styleId="73">
    <w:name w:val="批注框文本 Char"/>
    <w:basedOn w:val="34"/>
    <w:link w:val="20"/>
    <w:qFormat/>
    <w:uiPriority w:val="0"/>
    <w:rPr>
      <w:rFonts w:ascii="宋体" w:hAnsi="宋体" w:cs="宋体"/>
      <w:sz w:val="18"/>
      <w:szCs w:val="18"/>
      <w:lang w:eastAsia="en-US"/>
    </w:rPr>
  </w:style>
  <w:style w:type="character" w:customStyle="1" w:styleId="74">
    <w:name w:val="s1"/>
    <w:basedOn w:val="34"/>
    <w:qFormat/>
    <w:uiPriority w:val="0"/>
    <w:rPr>
      <w:color w:val="DDDDDD"/>
      <w:sz w:val="18"/>
      <w:szCs w:val="18"/>
    </w:rPr>
  </w:style>
  <w:style w:type="character" w:customStyle="1" w:styleId="75">
    <w:name w:val="btn-auto-1"/>
    <w:basedOn w:val="34"/>
    <w:qFormat/>
    <w:uiPriority w:val="0"/>
  </w:style>
  <w:style w:type="character" w:customStyle="1" w:styleId="76">
    <w:name w:val="btn-task-gray2"/>
    <w:basedOn w:val="34"/>
    <w:qFormat/>
    <w:uiPriority w:val="0"/>
    <w:rPr>
      <w:color w:val="FFFFFF"/>
      <w:u w:val="none"/>
      <w:shd w:val="clear" w:color="auto" w:fill="CCCCCC"/>
    </w:rPr>
  </w:style>
  <w:style w:type="character" w:customStyle="1" w:styleId="77">
    <w:name w:val="btn-task-gray3"/>
    <w:basedOn w:val="34"/>
    <w:qFormat/>
    <w:uiPriority w:val="0"/>
  </w:style>
  <w:style w:type="character" w:customStyle="1" w:styleId="78">
    <w:name w:val="nth-child(3)"/>
    <w:basedOn w:val="34"/>
    <w:qFormat/>
    <w:uiPriority w:val="0"/>
  </w:style>
  <w:style w:type="character" w:customStyle="1" w:styleId="79">
    <w:name w:val="nth-child(2)"/>
    <w:basedOn w:val="34"/>
    <w:qFormat/>
    <w:uiPriority w:val="0"/>
  </w:style>
  <w:style w:type="paragraph" w:customStyle="1" w:styleId="80">
    <w:name w:val="修订1"/>
    <w:hidden/>
    <w:semiHidden/>
    <w:qFormat/>
    <w:uiPriority w:val="99"/>
    <w:rPr>
      <w:rFonts w:ascii="宋体" w:hAnsi="宋体" w:eastAsia="宋体" w:cs="宋体"/>
      <w:sz w:val="22"/>
      <w:szCs w:val="22"/>
      <w:lang w:val="en-US" w:eastAsia="en-US" w:bidi="ar-SA"/>
    </w:rPr>
  </w:style>
  <w:style w:type="paragraph" w:customStyle="1" w:styleId="81">
    <w:name w:val="card-title"/>
    <w:basedOn w:val="1"/>
    <w:qFormat/>
    <w:uiPriority w:val="0"/>
    <w:pPr>
      <w:spacing w:line="600" w:lineRule="atLeast"/>
      <w:ind w:right="750"/>
    </w:pPr>
    <w:rPr>
      <w:rFonts w:cs="Times New Roman"/>
      <w:color w:val="666666"/>
      <w:lang w:eastAsia="zh-CN"/>
    </w:rPr>
  </w:style>
  <w:style w:type="character" w:customStyle="1" w:styleId="82">
    <w:name w:val="hover4"/>
    <w:basedOn w:val="34"/>
    <w:qFormat/>
    <w:uiPriority w:val="0"/>
    <w:rPr>
      <w:color w:val="2590EB"/>
    </w:rPr>
  </w:style>
  <w:style w:type="paragraph" w:customStyle="1" w:styleId="83">
    <w:name w:val="首行缩进"/>
    <w:basedOn w:val="1"/>
    <w:qFormat/>
    <w:uiPriority w:val="0"/>
    <w:pPr>
      <w:ind w:firstLine="480" w:firstLineChars="200"/>
    </w:pPr>
  </w:style>
  <w:style w:type="paragraph" w:customStyle="1" w:styleId="84">
    <w:name w:val="BodyText1I2"/>
    <w:basedOn w:val="85"/>
    <w:next w:val="86"/>
    <w:qFormat/>
    <w:uiPriority w:val="0"/>
    <w:pPr>
      <w:ind w:firstLine="420" w:firstLineChars="200"/>
    </w:pPr>
    <w:rPr>
      <w:rFonts w:ascii="Calibri" w:hAnsi="Calibri" w:eastAsia="楷体_GB2312"/>
      <w:kern w:val="44"/>
      <w:sz w:val="44"/>
    </w:rPr>
  </w:style>
  <w:style w:type="paragraph" w:customStyle="1" w:styleId="85">
    <w:name w:val="BodyTextIndent"/>
    <w:basedOn w:val="1"/>
    <w:qFormat/>
    <w:uiPriority w:val="0"/>
    <w:pPr>
      <w:spacing w:after="120"/>
      <w:ind w:left="420" w:leftChars="200"/>
    </w:pPr>
    <w:rPr>
      <w:sz w:val="20"/>
    </w:rPr>
  </w:style>
  <w:style w:type="paragraph" w:customStyle="1" w:styleId="86">
    <w:name w:val="UserStyle_136"/>
    <w:basedOn w:val="1"/>
    <w:next w:val="1"/>
    <w:qFormat/>
    <w:uiPriority w:val="0"/>
    <w:pPr>
      <w:spacing w:after="120" w:line="320" w:lineRule="atLeast"/>
      <w:ind w:firstLine="200" w:firstLineChars="200"/>
    </w:pPr>
    <w:rPr>
      <w:rFonts w:ascii="Arial" w:hAnsi="Arial"/>
    </w:rPr>
  </w:style>
  <w:style w:type="paragraph" w:customStyle="1" w:styleId="87">
    <w:name w:val="修订2"/>
    <w:hidden/>
    <w:semiHidden/>
    <w:qFormat/>
    <w:uiPriority w:val="99"/>
    <w:rPr>
      <w:rFonts w:ascii="宋体" w:hAnsi="宋体" w:eastAsia="宋体" w:cs="宋体"/>
      <w:sz w:val="22"/>
      <w:szCs w:val="22"/>
      <w:lang w:val="en-US" w:eastAsia="en-US" w:bidi="ar-SA"/>
    </w:rPr>
  </w:style>
  <w:style w:type="paragraph" w:customStyle="1" w:styleId="88">
    <w:name w:val="正文文本缩进 21"/>
    <w:basedOn w:val="1"/>
    <w:qFormat/>
    <w:uiPriority w:val="0"/>
    <w:pPr>
      <w:spacing w:line="480" w:lineRule="auto"/>
      <w:ind w:left="420"/>
    </w:pPr>
  </w:style>
  <w:style w:type="paragraph" w:customStyle="1" w:styleId="89">
    <w:name w:val="纯文本1"/>
    <w:basedOn w:val="1"/>
    <w:qFormat/>
    <w:uiPriority w:val="0"/>
    <w:pPr>
      <w:adjustRightInd w:val="0"/>
      <w:snapToGrid w:val="0"/>
      <w:spacing w:line="360" w:lineRule="auto"/>
    </w:pPr>
    <w:rPr>
      <w:rFonts w:ascii="宋体" w:hAnsi="Courier New"/>
      <w:sz w:val="21"/>
    </w:rPr>
  </w:style>
  <w:style w:type="character" w:customStyle="1" w:styleId="90">
    <w:name w:val="font21"/>
    <w:basedOn w:val="34"/>
    <w:qFormat/>
    <w:uiPriority w:val="0"/>
    <w:rPr>
      <w:rFonts w:hint="eastAsia" w:ascii="宋体" w:hAnsi="宋体" w:eastAsia="宋体" w:cs="宋体"/>
      <w:color w:val="000000"/>
      <w:sz w:val="20"/>
      <w:szCs w:val="20"/>
      <w:u w:val="none"/>
    </w:rPr>
  </w:style>
  <w:style w:type="paragraph" w:customStyle="1" w:styleId="91">
    <w:name w:val="Table Text"/>
    <w:basedOn w:val="1"/>
    <w:semiHidden/>
    <w:qFormat/>
    <w:uiPriority w:val="0"/>
    <w:rPr>
      <w:rFonts w:ascii="宋体" w:hAnsi="宋体" w:eastAsia="宋体" w:cs="宋体"/>
      <w:sz w:val="24"/>
      <w:szCs w:val="24"/>
      <w:lang w:val="en-US" w:eastAsia="en-US" w:bidi="ar-SA"/>
    </w:rPr>
  </w:style>
  <w:style w:type="paragraph" w:customStyle="1" w:styleId="9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sz w:val="28"/>
      <w:szCs w:val="20"/>
    </w:rPr>
  </w:style>
  <w:style w:type="character" w:customStyle="1" w:styleId="93">
    <w:name w:val="标题 2 Char"/>
    <w:link w:val="3"/>
    <w:qFormat/>
    <w:uiPriority w:val="0"/>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67</Pages>
  <Words>12541</Words>
  <Characters>13832</Characters>
  <Lines>308</Lines>
  <Paragraphs>86</Paragraphs>
  <TotalTime>16</TotalTime>
  <ScaleCrop>false</ScaleCrop>
  <LinksUpToDate>false</LinksUpToDate>
  <CharactersWithSpaces>13942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2022-09-14T07:09:00Z</dcterms:created>
  <dc:creator>Administrator</dc:creator>
  <cp:lastModifiedBy>微尘飘阳</cp:lastModifiedBy>
  <cp:lastPrinted>2023-08-02T07:11:00Z</cp:lastPrinted>
  <dcterms:modified xsi:type="dcterms:W3CDTF">2024-11-20T07:23:29Z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WPS 文字</vt:lpwstr>
  </property>
  <property fmtid="{D5CDD505-2E9C-101B-9397-08002B2CF9AE}" pid="4" name="LastSaved">
    <vt:filetime>2021-04-28T00:00:00Z</vt:filetime>
  </property>
  <property fmtid="{D5CDD505-2E9C-101B-9397-08002B2CF9AE}" pid="5" name="KSOProductBuildVer">
    <vt:lpwstr>2052-12.1.0.18608</vt:lpwstr>
  </property>
  <property fmtid="{D5CDD505-2E9C-101B-9397-08002B2CF9AE}" pid="6" name="ICV">
    <vt:lpwstr>D664953BACAA40299DE79ED723E0B9C6_13</vt:lpwstr>
  </property>
</Properties>
</file>